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114" w:rsidRDefault="00174114" w:rsidP="00174114">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74114" w:rsidTr="007D1001">
        <w:trPr>
          <w:jc w:val="center"/>
        </w:trPr>
        <w:tc>
          <w:tcPr>
            <w:tcW w:w="743" w:type="dxa"/>
            <w:hideMark/>
          </w:tcPr>
          <w:p w:rsidR="00174114" w:rsidRDefault="00174114" w:rsidP="007D1001">
            <w:pPr>
              <w:jc w:val="both"/>
              <w:rPr>
                <w:rFonts w:ascii="Arial (W1)" w:hAnsi="Arial (W1)"/>
                <w:b/>
                <w:bCs/>
                <w:sz w:val="28"/>
                <w:szCs w:val="28"/>
              </w:rPr>
            </w:pPr>
            <w:r>
              <w:rPr>
                <w:rFonts w:hint="cs"/>
                <w:b/>
                <w:bCs/>
                <w:sz w:val="28"/>
                <w:rtl/>
              </w:rPr>
              <w:t xml:space="preserve">לפני </w:t>
            </w:r>
          </w:p>
        </w:tc>
        <w:tc>
          <w:tcPr>
            <w:tcW w:w="8077" w:type="dxa"/>
            <w:gridSpan w:val="2"/>
            <w:hideMark/>
          </w:tcPr>
          <w:p w:rsidR="00174114" w:rsidRDefault="00174114" w:rsidP="007D1001">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הישאם שבאיטה</w:t>
                </w:r>
              </w:sdtContent>
            </w:sdt>
          </w:p>
          <w:p w:rsidR="00174114" w:rsidRPr="006816EC" w:rsidRDefault="00174114" w:rsidP="007D1001"/>
        </w:tc>
      </w:tr>
      <w:tr w:rsidR="00174114" w:rsidTr="007D1001">
        <w:trPr>
          <w:jc w:val="center"/>
        </w:trPr>
        <w:tc>
          <w:tcPr>
            <w:tcW w:w="3249" w:type="dxa"/>
            <w:gridSpan w:val="2"/>
          </w:tcPr>
          <w:p w:rsidR="00174114" w:rsidRDefault="00174114" w:rsidP="007D1001">
            <w:pPr>
              <w:bidi w:val="0"/>
              <w:rPr>
                <w:rFonts w:ascii="Arial (W1)" w:hAnsi="Arial (W1)"/>
                <w:b/>
                <w:bCs/>
                <w:noProof w:val="0"/>
                <w:sz w:val="28"/>
                <w:szCs w:val="28"/>
                <w:rtl/>
              </w:rPr>
            </w:pPr>
          </w:p>
          <w:sdt>
            <w:sdtPr>
              <w:rPr>
                <w:rFonts w:hint="cs"/>
                <w:rtl/>
              </w:rPr>
              <w:alias w:val="1180"/>
              <w:tag w:val="1180"/>
              <w:id w:val="-803768281"/>
              <w:text w:multiLine="1"/>
            </w:sdtPr>
            <w:sdtEndPr/>
            <w:sdtContent>
              <w:p w:rsidR="00174114" w:rsidRDefault="00174114" w:rsidP="007D1001">
                <w:pPr>
                  <w:rPr>
                    <w:rFonts w:ascii="Arial (W1)" w:hAnsi="Arial (W1)"/>
                    <w:b/>
                    <w:bCs/>
                    <w:noProof w:val="0"/>
                    <w:sz w:val="28"/>
                    <w:szCs w:val="28"/>
                  </w:rPr>
                </w:pPr>
                <w:r>
                  <w:rPr>
                    <w:rFonts w:hint="cs"/>
                    <w:b/>
                    <w:bCs/>
                    <w:noProof w:val="0"/>
                    <w:sz w:val="28"/>
                    <w:rtl/>
                  </w:rPr>
                  <w:t>תובע:</w:t>
                </w:r>
              </w:p>
            </w:sdtContent>
          </w:sdt>
        </w:tc>
        <w:tc>
          <w:tcPr>
            <w:tcW w:w="5571" w:type="dxa"/>
          </w:tcPr>
          <w:p w:rsidR="00174114" w:rsidRDefault="00174114" w:rsidP="007D1001">
            <w:pPr>
              <w:rPr>
                <w:rFonts w:ascii="Arial (W1)" w:hAnsi="Arial (W1)"/>
                <w:b/>
                <w:bCs/>
                <w:noProof w:val="0"/>
                <w:sz w:val="28"/>
                <w:szCs w:val="28"/>
                <w:rtl/>
              </w:rPr>
            </w:pPr>
          </w:p>
          <w:p w:rsidR="006A57EF" w:rsidRDefault="00A13AD2" w:rsidP="005115DC">
            <w:pPr>
              <w:rPr>
                <w:b/>
                <w:bCs/>
                <w:noProof w:val="0"/>
                <w:sz w:val="28"/>
                <w:rtl/>
              </w:rPr>
            </w:pPr>
            <w:sdt>
              <w:sdtPr>
                <w:rPr>
                  <w:rFonts w:hint="cs"/>
                  <w:b/>
                  <w:bCs/>
                  <w:noProof w:val="0"/>
                  <w:sz w:val="28"/>
                  <w:rtl/>
                </w:rPr>
                <w:alias w:val="1478"/>
                <w:tag w:val="1478"/>
                <w:id w:val="160126198"/>
                <w:text w:multiLine="1"/>
              </w:sdtPr>
              <w:sdtEndPr/>
              <w:sdtContent>
                <w:r w:rsidR="005115DC">
                  <w:rPr>
                    <w:rFonts w:hint="cs"/>
                    <w:b/>
                    <w:bCs/>
                    <w:noProof w:val="0"/>
                    <w:sz w:val="28"/>
                    <w:rtl/>
                  </w:rPr>
                  <w:t>פלוני</w:t>
                </w:r>
              </w:sdtContent>
            </w:sdt>
            <w:r w:rsidR="00174114" w:rsidRPr="009C358E">
              <w:rPr>
                <w:rFonts w:hint="cs"/>
                <w:b/>
                <w:bCs/>
                <w:noProof w:val="0"/>
                <w:sz w:val="28"/>
                <w:rtl/>
              </w:rPr>
              <w:t xml:space="preserve"> </w:t>
            </w:r>
            <w:sdt>
              <w:sdtPr>
                <w:rPr>
                  <w:rFonts w:hint="cs"/>
                  <w:b/>
                  <w:bCs/>
                  <w:noProof w:val="0"/>
                  <w:sz w:val="28"/>
                  <w:rtl/>
                </w:rPr>
                <w:alias w:val="2315"/>
                <w:tag w:val="2315"/>
                <w:id w:val="815377524"/>
                <w:placeholder>
                  <w:docPart w:val="F55FCDC4F6724E19AC954F6ED1D0F28C"/>
                </w:placeholder>
                <w:text w:multiLine="1"/>
              </w:sdtPr>
              <w:sdtEndPr/>
              <w:sdtContent>
                <w:r w:rsidR="00174114">
                  <w:rPr>
                    <w:rFonts w:hint="eastAsia"/>
                    <w:b/>
                    <w:bCs/>
                    <w:noProof w:val="0"/>
                    <w:sz w:val="28"/>
                    <w:rtl/>
                  </w:rPr>
                  <w:t>ת"ז</w:t>
                </w:r>
              </w:sdtContent>
            </w:sdt>
            <w:r w:rsidR="00174114" w:rsidRPr="009C358E">
              <w:rPr>
                <w:rFonts w:hint="cs"/>
                <w:b/>
                <w:bCs/>
                <w:noProof w:val="0"/>
                <w:sz w:val="28"/>
                <w:rtl/>
              </w:rPr>
              <w:t xml:space="preserve"> </w:t>
            </w:r>
            <w:r w:rsidR="00174114">
              <w:rPr>
                <w:rFonts w:hint="cs"/>
                <w:b/>
                <w:bCs/>
                <w:noProof w:val="0"/>
                <w:sz w:val="28"/>
              </w:rPr>
              <w:t>XXX</w:t>
            </w:r>
          </w:p>
          <w:p w:rsidR="00174114" w:rsidRDefault="006A57EF" w:rsidP="005115DC">
            <w:pPr>
              <w:rPr>
                <w:rFonts w:ascii="Arial (W1)" w:hAnsi="Arial (W1)"/>
                <w:b/>
                <w:bCs/>
                <w:noProof w:val="0"/>
                <w:sz w:val="28"/>
                <w:szCs w:val="28"/>
              </w:rPr>
            </w:pPr>
            <w:r>
              <w:rPr>
                <w:rFonts w:hint="cs"/>
                <w:b/>
                <w:bCs/>
                <w:noProof w:val="0"/>
                <w:sz w:val="28"/>
                <w:rtl/>
              </w:rPr>
              <w:t xml:space="preserve">ע"י ב"כ עוה"ד שלי אדרי </w:t>
            </w:r>
            <w:r w:rsidR="00174114">
              <w:rPr>
                <w:rFonts w:hint="cs"/>
                <w:b/>
                <w:bCs/>
                <w:noProof w:val="0"/>
                <w:sz w:val="28"/>
                <w:rtl/>
              </w:rPr>
              <w:t xml:space="preserve"> </w:t>
            </w:r>
          </w:p>
        </w:tc>
      </w:tr>
      <w:tr w:rsidR="00174114" w:rsidTr="007D1001">
        <w:trPr>
          <w:jc w:val="center"/>
        </w:trPr>
        <w:tc>
          <w:tcPr>
            <w:tcW w:w="8820" w:type="dxa"/>
            <w:gridSpan w:val="3"/>
          </w:tcPr>
          <w:p w:rsidR="00174114" w:rsidRDefault="00174114" w:rsidP="007D1001">
            <w:pPr>
              <w:rPr>
                <w:rFonts w:ascii="Arial (W1)" w:hAnsi="Arial (W1)"/>
                <w:b/>
                <w:bCs/>
                <w:noProof w:val="0"/>
                <w:sz w:val="28"/>
                <w:szCs w:val="28"/>
                <w:rtl/>
              </w:rPr>
            </w:pPr>
          </w:p>
          <w:p w:rsidR="00174114" w:rsidRDefault="00174114" w:rsidP="007D1001">
            <w:pPr>
              <w:jc w:val="center"/>
              <w:rPr>
                <w:b/>
                <w:bCs/>
                <w:noProof w:val="0"/>
                <w:sz w:val="28"/>
                <w:rtl/>
              </w:rPr>
            </w:pPr>
            <w:r>
              <w:rPr>
                <w:rFonts w:hint="cs"/>
                <w:b/>
                <w:bCs/>
                <w:noProof w:val="0"/>
                <w:sz w:val="28"/>
                <w:rtl/>
              </w:rPr>
              <w:t>נגד</w:t>
            </w:r>
          </w:p>
          <w:p w:rsidR="00174114" w:rsidRDefault="00174114" w:rsidP="007D1001">
            <w:pPr>
              <w:rPr>
                <w:rFonts w:ascii="Arial (W1)" w:hAnsi="Arial (W1)"/>
                <w:b/>
                <w:bCs/>
                <w:noProof w:val="0"/>
                <w:sz w:val="28"/>
                <w:szCs w:val="28"/>
              </w:rPr>
            </w:pPr>
          </w:p>
        </w:tc>
      </w:tr>
      <w:tr w:rsidR="00174114" w:rsidTr="007D1001">
        <w:trPr>
          <w:jc w:val="center"/>
        </w:trPr>
        <w:tc>
          <w:tcPr>
            <w:tcW w:w="3249" w:type="dxa"/>
            <w:gridSpan w:val="2"/>
          </w:tcPr>
          <w:p w:rsidR="00174114" w:rsidRDefault="00174114" w:rsidP="007D1001">
            <w:pPr>
              <w:rPr>
                <w:rFonts w:ascii="Arial (W1)" w:hAnsi="Arial (W1)"/>
                <w:b/>
                <w:bCs/>
                <w:noProof w:val="0"/>
                <w:sz w:val="28"/>
                <w:szCs w:val="28"/>
                <w:rtl/>
              </w:rPr>
            </w:pPr>
          </w:p>
          <w:p w:rsidR="00174114" w:rsidRDefault="00A13AD2" w:rsidP="007D1001">
            <w:pPr>
              <w:rPr>
                <w:rFonts w:ascii="Arial (W1)" w:hAnsi="Arial (W1)"/>
                <w:b/>
                <w:bCs/>
                <w:noProof w:val="0"/>
                <w:sz w:val="28"/>
                <w:szCs w:val="28"/>
              </w:rPr>
            </w:pPr>
            <w:sdt>
              <w:sdtPr>
                <w:rPr>
                  <w:rFonts w:hint="cs"/>
                  <w:rtl/>
                </w:rPr>
                <w:alias w:val="1184"/>
                <w:tag w:val="1184"/>
                <w:id w:val="-910234160"/>
                <w:text w:multiLine="1"/>
              </w:sdtPr>
              <w:sdtEndPr/>
              <w:sdtContent>
                <w:r w:rsidR="00174114">
                  <w:rPr>
                    <w:rFonts w:hint="cs"/>
                    <w:b/>
                    <w:bCs/>
                    <w:noProof w:val="0"/>
                    <w:sz w:val="28"/>
                    <w:rtl/>
                  </w:rPr>
                  <w:t>נתבעת:</w:t>
                </w:r>
              </w:sdtContent>
            </w:sdt>
          </w:p>
        </w:tc>
        <w:tc>
          <w:tcPr>
            <w:tcW w:w="5571" w:type="dxa"/>
          </w:tcPr>
          <w:p w:rsidR="00174114" w:rsidRDefault="00174114" w:rsidP="007D1001">
            <w:pPr>
              <w:rPr>
                <w:rFonts w:ascii="Arial (W1)" w:hAnsi="Arial (W1)"/>
                <w:b/>
                <w:bCs/>
                <w:noProof w:val="0"/>
                <w:sz w:val="28"/>
                <w:szCs w:val="28"/>
                <w:rtl/>
              </w:rPr>
            </w:pPr>
          </w:p>
          <w:p w:rsidR="00174114" w:rsidRDefault="00A13AD2" w:rsidP="005115DC">
            <w:pPr>
              <w:rPr>
                <w:rFonts w:ascii="Arial (W1)" w:hAnsi="Arial (W1)"/>
                <w:b/>
                <w:bCs/>
                <w:noProof w:val="0"/>
                <w:sz w:val="28"/>
                <w:szCs w:val="28"/>
                <w:rtl/>
              </w:rPr>
            </w:pPr>
            <w:sdt>
              <w:sdtPr>
                <w:rPr>
                  <w:rFonts w:hint="cs"/>
                  <w:b/>
                  <w:bCs/>
                  <w:noProof w:val="0"/>
                  <w:sz w:val="28"/>
                  <w:rtl/>
                </w:rPr>
                <w:alias w:val="1486"/>
                <w:tag w:val="1486"/>
                <w:id w:val="1487590763"/>
                <w:text w:multiLine="1"/>
              </w:sdtPr>
              <w:sdtEndPr/>
              <w:sdtContent>
                <w:r w:rsidR="005115DC">
                  <w:rPr>
                    <w:rFonts w:hint="cs"/>
                    <w:b/>
                    <w:bCs/>
                    <w:noProof w:val="0"/>
                    <w:sz w:val="28"/>
                    <w:rtl/>
                  </w:rPr>
                  <w:t>פלונית</w:t>
                </w:r>
              </w:sdtContent>
            </w:sdt>
            <w:r w:rsidR="00174114" w:rsidRPr="009C358E">
              <w:rPr>
                <w:rFonts w:hint="cs"/>
                <w:b/>
                <w:bCs/>
                <w:noProof w:val="0"/>
                <w:sz w:val="28"/>
                <w:rtl/>
              </w:rPr>
              <w:t xml:space="preserve"> </w:t>
            </w:r>
            <w:sdt>
              <w:sdtPr>
                <w:rPr>
                  <w:rFonts w:hint="cs"/>
                  <w:b/>
                  <w:bCs/>
                  <w:noProof w:val="0"/>
                  <w:sz w:val="28"/>
                  <w:rtl/>
                </w:rPr>
                <w:alias w:val="2317"/>
                <w:tag w:val="2317"/>
                <w:id w:val="1321767079"/>
                <w:placeholder>
                  <w:docPart w:val="8919EEBCC592418895F470B31C61E755"/>
                </w:placeholder>
                <w:text w:multiLine="1"/>
              </w:sdtPr>
              <w:sdtEndPr/>
              <w:sdtContent>
                <w:r w:rsidR="00174114">
                  <w:rPr>
                    <w:rFonts w:hint="eastAsia"/>
                    <w:b/>
                    <w:bCs/>
                    <w:noProof w:val="0"/>
                    <w:sz w:val="28"/>
                    <w:rtl/>
                  </w:rPr>
                  <w:t>ת"ז</w:t>
                </w:r>
              </w:sdtContent>
            </w:sdt>
            <w:r w:rsidR="00174114" w:rsidRPr="009C358E">
              <w:rPr>
                <w:rFonts w:hint="cs"/>
                <w:b/>
                <w:bCs/>
                <w:noProof w:val="0"/>
                <w:sz w:val="28"/>
                <w:rtl/>
              </w:rPr>
              <w:t xml:space="preserve"> </w:t>
            </w:r>
            <w:r w:rsidR="00174114">
              <w:rPr>
                <w:rFonts w:hint="cs"/>
                <w:b/>
                <w:bCs/>
                <w:noProof w:val="0"/>
                <w:sz w:val="28"/>
              </w:rPr>
              <w:t>XXX</w:t>
            </w:r>
          </w:p>
          <w:p w:rsidR="006A57EF" w:rsidRDefault="006A57EF" w:rsidP="005115DC">
            <w:pPr>
              <w:rPr>
                <w:rFonts w:ascii="Arial (W1)" w:hAnsi="Arial (W1)"/>
                <w:b/>
                <w:bCs/>
                <w:noProof w:val="0"/>
                <w:sz w:val="28"/>
                <w:szCs w:val="28"/>
                <w:rtl/>
              </w:rPr>
            </w:pPr>
            <w:r w:rsidRPr="006A57EF">
              <w:rPr>
                <w:rFonts w:hint="cs"/>
                <w:b/>
                <w:bCs/>
                <w:noProof w:val="0"/>
                <w:sz w:val="28"/>
                <w:rtl/>
              </w:rPr>
              <w:t>ע"י ב"כ עוה"ד אורלי מנע-שני</w:t>
            </w:r>
          </w:p>
        </w:tc>
      </w:tr>
      <w:tr w:rsidR="00174114" w:rsidTr="007D1001">
        <w:trPr>
          <w:jc w:val="center"/>
        </w:trPr>
        <w:tc>
          <w:tcPr>
            <w:tcW w:w="8820" w:type="dxa"/>
            <w:gridSpan w:val="3"/>
          </w:tcPr>
          <w:p w:rsidR="00174114" w:rsidRDefault="00174114" w:rsidP="007D1001">
            <w:pPr>
              <w:rPr>
                <w:rFonts w:ascii="Arial (W1)" w:hAnsi="Arial (W1)"/>
                <w:b/>
                <w:bCs/>
                <w:noProof w:val="0"/>
                <w:sz w:val="28"/>
                <w:szCs w:val="28"/>
                <w:rtl/>
              </w:rPr>
            </w:pPr>
          </w:p>
          <w:p w:rsidR="00174114" w:rsidRDefault="00174114" w:rsidP="007D1001">
            <w:pPr>
              <w:rPr>
                <w:rFonts w:ascii="Arial (W1)" w:hAnsi="Arial (W1)"/>
                <w:b/>
                <w:bCs/>
                <w:noProof w:val="0"/>
                <w:sz w:val="28"/>
                <w:szCs w:val="28"/>
              </w:rPr>
            </w:pPr>
          </w:p>
          <w:p w:rsidR="00174114" w:rsidRDefault="00174114" w:rsidP="007D1001">
            <w:pPr>
              <w:rPr>
                <w:rFonts w:ascii="Arial (W1)" w:hAnsi="Arial (W1)"/>
                <w:b/>
                <w:bCs/>
                <w:noProof w:val="0"/>
                <w:sz w:val="28"/>
                <w:szCs w:val="28"/>
                <w:rtl/>
              </w:rPr>
            </w:pPr>
          </w:p>
        </w:tc>
      </w:tr>
      <w:tr w:rsidR="00174114" w:rsidTr="007D1001">
        <w:trPr>
          <w:jc w:val="center"/>
        </w:trPr>
        <w:tc>
          <w:tcPr>
            <w:tcW w:w="3249" w:type="dxa"/>
            <w:gridSpan w:val="2"/>
          </w:tcPr>
          <w:p w:rsidR="00174114" w:rsidRDefault="00174114" w:rsidP="007D1001">
            <w:pPr>
              <w:rPr>
                <w:rFonts w:ascii="David" w:eastAsia="David" w:hAnsi="David"/>
                <w:noProof w:val="0"/>
              </w:rPr>
            </w:pPr>
          </w:p>
        </w:tc>
        <w:tc>
          <w:tcPr>
            <w:tcW w:w="5571" w:type="dxa"/>
          </w:tcPr>
          <w:p w:rsidR="00174114" w:rsidRDefault="00174114" w:rsidP="007D1001">
            <w:pPr>
              <w:rPr>
                <w:rFonts w:cs="Times New Roman"/>
              </w:rPr>
            </w:pPr>
          </w:p>
        </w:tc>
      </w:tr>
    </w:tbl>
    <w:p w:rsidR="00174114" w:rsidRDefault="00174114" w:rsidP="00174114">
      <w:pPr>
        <w:suppressLineNumbers/>
        <w:rPr>
          <w:rFonts w:ascii="Arial (W1)" w:hAnsi="Arial (W1)"/>
          <w:sz w:val="28"/>
          <w:szCs w:val="28"/>
          <w:rtl/>
        </w:rPr>
      </w:pPr>
    </w:p>
    <w:p w:rsidR="00174114" w:rsidRDefault="00174114" w:rsidP="00174114">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74114" w:rsidTr="007D1001">
        <w:trPr>
          <w:jc w:val="center"/>
        </w:trPr>
        <w:tc>
          <w:tcPr>
            <w:tcW w:w="8820" w:type="dxa"/>
          </w:tcPr>
          <w:p w:rsidR="00174114" w:rsidRDefault="00174114" w:rsidP="007D100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174114" w:rsidRDefault="00174114" w:rsidP="00174114">
      <w:pPr>
        <w:spacing w:line="360" w:lineRule="auto"/>
        <w:jc w:val="both"/>
        <w:rPr>
          <w:rFonts w:ascii="Arial" w:hAnsi="Arial"/>
          <w:noProof w:val="0"/>
          <w:rtl/>
        </w:rPr>
      </w:pPr>
    </w:p>
    <w:p w:rsidR="00174114" w:rsidRPr="00CE0411" w:rsidRDefault="00174114" w:rsidP="00174114">
      <w:pPr>
        <w:spacing w:before="240" w:after="240" w:line="360" w:lineRule="auto"/>
        <w:jc w:val="both"/>
        <w:rPr>
          <w:rFonts w:ascii="David" w:eastAsia="Arial" w:hAnsi="David"/>
          <w:noProof w:val="0"/>
        </w:rPr>
      </w:pPr>
      <w:r w:rsidRPr="00CE0411">
        <w:rPr>
          <w:rFonts w:ascii="David" w:eastAsia="Arial" w:hAnsi="David"/>
          <w:noProof w:val="0"/>
          <w:rtl/>
        </w:rPr>
        <w:t>בפניי תביעה שהגיש התובע (להלן:"</w:t>
      </w:r>
      <w:r w:rsidRPr="00CE0411">
        <w:rPr>
          <w:rFonts w:ascii="David" w:eastAsia="Arial" w:hAnsi="David"/>
          <w:b/>
          <w:bCs/>
          <w:i/>
          <w:iCs/>
          <w:noProof w:val="0"/>
          <w:rtl/>
        </w:rPr>
        <w:t>האב</w:t>
      </w:r>
      <w:r w:rsidRPr="00CE0411">
        <w:rPr>
          <w:rFonts w:ascii="David" w:eastAsia="Arial" w:hAnsi="David"/>
          <w:noProof w:val="0"/>
          <w:rtl/>
        </w:rPr>
        <w:t>") כנגד הנתבעת (להלן:"</w:t>
      </w:r>
      <w:r w:rsidRPr="00CE0411">
        <w:rPr>
          <w:rFonts w:ascii="David" w:eastAsia="Arial" w:hAnsi="David"/>
          <w:b/>
          <w:bCs/>
          <w:i/>
          <w:iCs/>
          <w:noProof w:val="0"/>
          <w:rtl/>
        </w:rPr>
        <w:t>האם</w:t>
      </w:r>
      <w:r w:rsidRPr="00CE0411">
        <w:rPr>
          <w:rFonts w:ascii="David" w:eastAsia="Arial" w:hAnsi="David"/>
          <w:noProof w:val="0"/>
          <w:rtl/>
        </w:rPr>
        <w:t>") להפחתת מזונות.</w:t>
      </w:r>
    </w:p>
    <w:p w:rsidR="00174114" w:rsidRPr="00CE0411" w:rsidRDefault="00174114" w:rsidP="00174114">
      <w:pPr>
        <w:numPr>
          <w:ilvl w:val="0"/>
          <w:numId w:val="1"/>
        </w:numPr>
        <w:spacing w:before="240" w:after="240" w:line="360" w:lineRule="auto"/>
        <w:jc w:val="both"/>
        <w:rPr>
          <w:rFonts w:ascii="David" w:eastAsia="Arial" w:hAnsi="David"/>
          <w:b/>
          <w:bCs/>
          <w:noProof w:val="0"/>
          <w:sz w:val="28"/>
          <w:szCs w:val="28"/>
          <w:u w:val="single"/>
          <w:rtl/>
        </w:rPr>
      </w:pPr>
      <w:r w:rsidRPr="00CE0411">
        <w:rPr>
          <w:rFonts w:ascii="David" w:eastAsia="Arial" w:hAnsi="David"/>
          <w:b/>
          <w:bCs/>
          <w:noProof w:val="0"/>
          <w:sz w:val="28"/>
          <w:szCs w:val="28"/>
          <w:u w:val="single"/>
          <w:rtl/>
        </w:rPr>
        <w:t xml:space="preserve">רקע רלבנטי בתמצית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הצדדים הם הורים גרושים לשני קטינים ילידי השנים 2008 ו- 2012.</w:t>
      </w:r>
    </w:p>
    <w:p w:rsidR="00174114" w:rsidRPr="00CE0411" w:rsidRDefault="00174114" w:rsidP="00EA633A">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הצדדים חתמו על הסכם גירושים שאושר בבית משפט ביום</w:t>
      </w:r>
      <w:r w:rsidR="00EA633A">
        <w:rPr>
          <w:rFonts w:ascii="David" w:eastAsia="Arial" w:hAnsi="David" w:hint="cs"/>
          <w:noProof w:val="0"/>
        </w:rPr>
        <w:t xml:space="preserve"> X/X/2016</w:t>
      </w:r>
      <w:r w:rsidR="00EA633A">
        <w:rPr>
          <w:rFonts w:ascii="David" w:eastAsia="Arial" w:hAnsi="David"/>
          <w:noProof w:val="0"/>
        </w:rPr>
        <w:t xml:space="preserve"> </w:t>
      </w:r>
      <w:r w:rsidRPr="00CE0411">
        <w:rPr>
          <w:rFonts w:ascii="David" w:eastAsia="Arial" w:hAnsi="David"/>
          <w:noProof w:val="0"/>
          <w:rtl/>
        </w:rPr>
        <w:t xml:space="preserve">.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האב התחייב בהסכם "</w:t>
      </w:r>
      <w:r w:rsidRPr="00CE0411">
        <w:rPr>
          <w:rFonts w:ascii="David" w:eastAsia="Arial" w:hAnsi="David"/>
          <w:b/>
          <w:bCs/>
          <w:i/>
          <w:iCs/>
          <w:noProof w:val="0"/>
          <w:rtl/>
        </w:rPr>
        <w:t>לשלם לידי האם מזונות ומדור באופן סדיר עבור הילדים בסך של 1,500 ₪ לחודש עבור כל אחד מהם וזאת עד לגיל 18 שנה ו/או סיום הלימודים התיכוניים של אותו הילד לפי המאוחר מבין השניים</w:t>
      </w:r>
      <w:r w:rsidRPr="00CE0411">
        <w:rPr>
          <w:rFonts w:ascii="David" w:eastAsia="Arial" w:hAnsi="David"/>
          <w:noProof w:val="0"/>
          <w:rtl/>
        </w:rPr>
        <w:t>" (ס' 5.1 להסכם).</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 כמו כן, סוכם שהצדדים יחלקו בחלקים שווים בהוצאות מיוחדות (ס' 6 להסכם).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לטענת האב, מאז ההסכם, חל שינוי נסיבות מהותי המצדיק בחינה מחדש של החיוב בדמי מזונות.</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אין מחלוקת בין הצדדים כי </w:t>
      </w:r>
      <w:r w:rsidRPr="00CE0411">
        <w:rPr>
          <w:rFonts w:ascii="David" w:eastAsia="Arial" w:hAnsi="David"/>
          <w:b/>
          <w:bCs/>
          <w:noProof w:val="0"/>
          <w:rtl/>
        </w:rPr>
        <w:t>זמני השהות לא השתנו</w:t>
      </w:r>
      <w:r w:rsidRPr="00CE0411">
        <w:rPr>
          <w:rFonts w:ascii="David" w:eastAsia="Arial" w:hAnsi="David"/>
          <w:noProof w:val="0"/>
          <w:rtl/>
        </w:rPr>
        <w:t xml:space="preserve"> מאז תקופת הסכם והם עומדים על יחס 60%-40% לטובת האם. השינוי הנטען מתייחס למצבם הכלכלי של הצדדים, כפי שיפורט להלן.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lastRenderedPageBreak/>
        <w:t>ראשית, לטענת האב, מצבו הכלכלי הורע באופן משמעותי הן משום שהכנסתו נותרה ללא שינוי והן משום שהוצאותיו גדלו משמעותית. הגידול בהוצאות נבע מעלייה בצרכי הילדים, עלייה ביוקר המחייה וכן בשינוי במצבו הרפואי. כתוצאה מכך, התובע נקלע לחובות ואלמלא סיוע מקרובי משפחה וחברים, מצבו היה בכי רע.</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שנית, ובמקביל, מצבה של האם השתפר משמעותית. שכרה של האם עלה, היא חיה חיי מותרות עם בן זוגה וילדיו ומתגוררת בוילה יוקרתית </w:t>
      </w:r>
      <w:r>
        <w:rPr>
          <w:rFonts w:ascii="David" w:eastAsia="Arial" w:hAnsi="David" w:hint="cs"/>
          <w:noProof w:val="0"/>
          <w:rtl/>
        </w:rPr>
        <w:t>ב</w:t>
      </w:r>
      <w:r>
        <w:rPr>
          <w:rFonts w:ascii="David" w:eastAsia="Arial" w:hAnsi="David" w:hint="cs"/>
          <w:noProof w:val="0"/>
        </w:rPr>
        <w:t>XXX</w:t>
      </w:r>
      <w:r>
        <w:rPr>
          <w:rFonts w:ascii="David" w:eastAsia="Arial" w:hAnsi="David" w:hint="cs"/>
          <w:noProof w:val="0"/>
          <w:rtl/>
        </w:rPr>
        <w:t>.</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האם עותרת לדחות את טענות האב.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לטענתה, אין כל בסיס לטענות האב לעניין מצבו הכלכלי, וממילא אין מדובר בשינוי מהותי בנסיבות.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כמו כן, לטענת האם, לא היה כל שינוי מהותי במצבה הכלכלי</w:t>
      </w:r>
      <w:r>
        <w:rPr>
          <w:rFonts w:ascii="David" w:eastAsia="Arial" w:hAnsi="David" w:hint="cs"/>
          <w:noProof w:val="0"/>
          <w:rtl/>
        </w:rPr>
        <w:t>,</w:t>
      </w:r>
      <w:r w:rsidRPr="00CE0411">
        <w:rPr>
          <w:rFonts w:ascii="David" w:eastAsia="Arial" w:hAnsi="David"/>
          <w:noProof w:val="0"/>
          <w:rtl/>
        </w:rPr>
        <w:t xml:space="preserve"> שכן ההעלאה בשכרה היא צפויה וסבירה בחלוף השנים. כמו כן, מגוריה עם בן זוג אינם מהווים שינויים במצבה הכלכלי</w:t>
      </w:r>
      <w:r>
        <w:rPr>
          <w:rFonts w:ascii="David" w:eastAsia="Arial" w:hAnsi="David" w:hint="cs"/>
          <w:noProof w:val="0"/>
          <w:rtl/>
        </w:rPr>
        <w:t>,</w:t>
      </w:r>
      <w:r w:rsidRPr="00CE0411">
        <w:rPr>
          <w:rFonts w:ascii="David" w:eastAsia="Arial" w:hAnsi="David"/>
          <w:noProof w:val="0"/>
          <w:rtl/>
        </w:rPr>
        <w:t xml:space="preserve"> שכן היא ובן זוגה חולקים יחד את הוצאות מגוריהם המשותפים.</w:t>
      </w:r>
    </w:p>
    <w:p w:rsidR="00174114" w:rsidRPr="00CE0411" w:rsidRDefault="00174114" w:rsidP="00174114">
      <w:pPr>
        <w:numPr>
          <w:ilvl w:val="0"/>
          <w:numId w:val="1"/>
        </w:numPr>
        <w:spacing w:before="240" w:after="240" w:line="360" w:lineRule="auto"/>
        <w:jc w:val="both"/>
        <w:rPr>
          <w:rFonts w:ascii="David" w:eastAsia="Arial" w:hAnsi="David"/>
          <w:b/>
          <w:bCs/>
          <w:noProof w:val="0"/>
          <w:sz w:val="28"/>
          <w:szCs w:val="28"/>
          <w:u w:val="single"/>
          <w:rtl/>
        </w:rPr>
      </w:pPr>
      <w:r w:rsidRPr="00CE0411">
        <w:rPr>
          <w:rFonts w:ascii="David" w:eastAsia="Arial" w:hAnsi="David"/>
          <w:b/>
          <w:bCs/>
          <w:noProof w:val="0"/>
          <w:sz w:val="28"/>
          <w:szCs w:val="28"/>
          <w:u w:val="single"/>
          <w:rtl/>
        </w:rPr>
        <w:t>מסגרת נורמטיבית</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Cambria" w:hAnsi="David"/>
          <w:noProof w:val="0"/>
          <w:rtl/>
        </w:rPr>
        <w:t>כידוע, פסק דין למזונות אינו מהווה מעשה בית דין ועל כן נקבע כי ניתן לדון בו מחדש בתנאי שחל במצבם של הצדדים "</w:t>
      </w:r>
      <w:r w:rsidRPr="00CE0411">
        <w:rPr>
          <w:rFonts w:ascii="David" w:eastAsia="Cambria" w:hAnsi="David"/>
          <w:b/>
          <w:bCs/>
          <w:i/>
          <w:iCs/>
          <w:noProof w:val="0"/>
          <w:rtl/>
        </w:rPr>
        <w:t>שינוי נסיבות מהותי</w:t>
      </w:r>
      <w:r w:rsidRPr="00CE0411">
        <w:rPr>
          <w:rFonts w:ascii="David" w:eastAsia="Cambria" w:hAnsi="David"/>
          <w:noProof w:val="0"/>
          <w:rtl/>
        </w:rPr>
        <w:t>" ביחס למצב בעבר (סעיף 13 ל</w:t>
      </w:r>
      <w:r w:rsidRPr="00CE0411">
        <w:rPr>
          <w:rFonts w:ascii="David" w:eastAsia="Cambria" w:hAnsi="David"/>
          <w:noProof w:val="0"/>
          <w:u w:val="single"/>
          <w:rtl/>
        </w:rPr>
        <w:t>חוק לתיקון דיני המשפחה (מזונות), תשי"ט-1959</w:t>
      </w:r>
      <w:r w:rsidRPr="00CE0411">
        <w:rPr>
          <w:rFonts w:ascii="David" w:eastAsia="Cambria" w:hAnsi="David"/>
          <w:noProof w:val="0"/>
          <w:rtl/>
        </w:rPr>
        <w:t xml:space="preserve">; ע"א 363/81 </w:t>
      </w:r>
      <w:r w:rsidRPr="00CE0411">
        <w:rPr>
          <w:rFonts w:ascii="David" w:eastAsia="Cambria" w:hAnsi="David"/>
          <w:noProof w:val="0"/>
          <w:u w:val="single"/>
          <w:rtl/>
        </w:rPr>
        <w:t>פייגה נ' פייגה</w:t>
      </w:r>
      <w:r w:rsidRPr="00CE0411">
        <w:rPr>
          <w:rFonts w:ascii="David" w:eastAsia="Cambria" w:hAnsi="David"/>
          <w:noProof w:val="0"/>
          <w:rtl/>
        </w:rPr>
        <w:t xml:space="preserve"> פ"ד לו(3) 187 (1982).</w:t>
      </w:r>
      <w:r w:rsidRPr="00CE0411">
        <w:rPr>
          <w:rFonts w:ascii="David" w:eastAsia="Cambria" w:hAnsi="David"/>
          <w:noProof w:val="0"/>
          <w:rtl/>
        </w:rPr>
        <w:tab/>
      </w:r>
      <w:r w:rsidRPr="00CE0411">
        <w:rPr>
          <w:rFonts w:ascii="David" w:eastAsia="Arial" w:hAnsi="David"/>
          <w:noProof w:val="0"/>
          <w:rtl/>
        </w:rPr>
        <w:t xml:space="preserve">הדבר נכון בין אם מדובר בפסק דין שניתן לאחר בירור עובדתי ובין אם בפסק דין שנתן תוקף להסכם גירושין כולל בין הצדדים (ע"א 442/83 </w:t>
      </w:r>
      <w:r w:rsidRPr="00CE0411">
        <w:rPr>
          <w:rFonts w:ascii="David" w:eastAsia="Arial" w:hAnsi="David"/>
          <w:noProof w:val="0"/>
          <w:u w:val="single"/>
          <w:rtl/>
        </w:rPr>
        <w:t>קם נ' קם</w:t>
      </w:r>
      <w:r w:rsidRPr="00CE0411">
        <w:rPr>
          <w:rFonts w:ascii="David" w:eastAsia="Arial" w:hAnsi="David"/>
          <w:noProof w:val="0"/>
          <w:rtl/>
        </w:rPr>
        <w:t xml:space="preserve"> פ"ד לח(1) 767 (1984).</w:t>
      </w:r>
    </w:p>
    <w:p w:rsidR="00174114" w:rsidRPr="00CE0411" w:rsidRDefault="00174114" w:rsidP="00174114">
      <w:pPr>
        <w:numPr>
          <w:ilvl w:val="0"/>
          <w:numId w:val="2"/>
        </w:numPr>
        <w:spacing w:before="240" w:after="240" w:line="360" w:lineRule="auto"/>
        <w:jc w:val="both"/>
        <w:rPr>
          <w:rFonts w:ascii="David" w:eastAsia="Cambria" w:hAnsi="David"/>
          <w:noProof w:val="0"/>
          <w:rtl/>
        </w:rPr>
      </w:pPr>
      <w:r w:rsidRPr="00CE0411">
        <w:rPr>
          <w:rFonts w:ascii="David" w:eastAsia="Cambria" w:hAnsi="David"/>
          <w:noProof w:val="0"/>
          <w:rtl/>
        </w:rPr>
        <w:t xml:space="preserve">באשר למהות השינוי הנדרש לצורך פתיחת פסק הדין מחדש, בהתאם לפסיקה, נקבעו </w:t>
      </w:r>
      <w:r w:rsidRPr="00CE0411">
        <w:rPr>
          <w:rFonts w:ascii="David" w:eastAsia="Cambria" w:hAnsi="David"/>
          <w:b/>
          <w:bCs/>
          <w:noProof w:val="0"/>
          <w:rtl/>
        </w:rPr>
        <w:t>מספר תנאים</w:t>
      </w:r>
      <w:r w:rsidRPr="00CE0411">
        <w:rPr>
          <w:rFonts w:ascii="David" w:eastAsia="Cambria" w:hAnsi="David"/>
          <w:noProof w:val="0"/>
          <w:rtl/>
        </w:rPr>
        <w:t xml:space="preserve">: נדרש </w:t>
      </w:r>
      <w:r w:rsidRPr="00CE0411">
        <w:rPr>
          <w:rFonts w:ascii="David" w:eastAsia="Cambria" w:hAnsi="David"/>
          <w:b/>
          <w:bCs/>
          <w:noProof w:val="0"/>
          <w:rtl/>
        </w:rPr>
        <w:t>שהשינוי יהיה בלתי צפוי ומהותי</w:t>
      </w:r>
      <w:r w:rsidRPr="00CE0411">
        <w:rPr>
          <w:rFonts w:ascii="David" w:eastAsia="Cambria" w:hAnsi="David"/>
          <w:noProof w:val="0"/>
          <w:rtl/>
        </w:rPr>
        <w:t xml:space="preserve">, קרי שינוי שיש בו כדי להשפיע באופן ממשי ועמוק על היכולת לעמוד בחיוב שנפסק כאשר יש לפרש תנאי זה באופן דווקני. כמו כן, על השינוי להיות כזה שהופך את אכיפת פסק דין לבלתי צודקת (בע"מ 3984/15 </w:t>
      </w:r>
      <w:r w:rsidRPr="00CE0411">
        <w:rPr>
          <w:rFonts w:ascii="David" w:eastAsia="Cambria" w:hAnsi="David"/>
          <w:noProof w:val="0"/>
          <w:u w:val="single"/>
          <w:rtl/>
        </w:rPr>
        <w:t>פלונית נ' פלוני</w:t>
      </w:r>
      <w:r w:rsidRPr="00CE0411">
        <w:rPr>
          <w:rFonts w:ascii="David" w:eastAsia="Cambria" w:hAnsi="David"/>
          <w:noProof w:val="0"/>
          <w:rtl/>
        </w:rPr>
        <w:t xml:space="preserve"> (נבו - 13.09.2016). עוד נדרש כי </w:t>
      </w:r>
      <w:r w:rsidRPr="00CE0411">
        <w:rPr>
          <w:rFonts w:ascii="David" w:eastAsia="Cambria" w:hAnsi="David"/>
          <w:b/>
          <w:bCs/>
          <w:noProof w:val="0"/>
          <w:rtl/>
        </w:rPr>
        <w:t xml:space="preserve">על מגיש התביעה לנהוג בתום לב ולשחק "בקלפים גלויים" בכל הקשור להכנסותיו ולמצבו הכלכלי </w:t>
      </w:r>
      <w:r w:rsidRPr="00CE0411">
        <w:rPr>
          <w:rFonts w:ascii="David" w:eastAsia="Cambria" w:hAnsi="David"/>
          <w:noProof w:val="0"/>
          <w:rtl/>
        </w:rPr>
        <w:t xml:space="preserve">(ראו: </w:t>
      </w:r>
      <w:r w:rsidRPr="00CE0411">
        <w:rPr>
          <w:rFonts w:ascii="David" w:eastAsia="Cambria" w:hAnsi="David"/>
          <w:noProof w:val="0"/>
          <w:u w:val="single"/>
          <w:rtl/>
        </w:rPr>
        <w:t>עניין קם</w:t>
      </w:r>
      <w:r w:rsidRPr="00CE0411">
        <w:rPr>
          <w:rFonts w:ascii="David" w:eastAsia="Cambria" w:hAnsi="David"/>
          <w:noProof w:val="0"/>
          <w:rtl/>
        </w:rPr>
        <w:t xml:space="preserve"> לעיל; עמ"ש (מחוזי חיפה) 53288-03-18 </w:t>
      </w:r>
      <w:r w:rsidRPr="00CE0411">
        <w:rPr>
          <w:rFonts w:ascii="David" w:eastAsia="Cambria" w:hAnsi="David"/>
          <w:noProof w:val="0"/>
          <w:u w:val="single"/>
          <w:rtl/>
        </w:rPr>
        <w:t>פלוני נ' פלונית</w:t>
      </w:r>
      <w:r w:rsidRPr="00CE0411">
        <w:rPr>
          <w:rFonts w:ascii="David" w:eastAsia="Cambria" w:hAnsi="David"/>
          <w:noProof w:val="0"/>
          <w:rtl/>
        </w:rPr>
        <w:t xml:space="preserve"> (נבו 13.11.2018).</w:t>
      </w:r>
    </w:p>
    <w:p w:rsidR="00174114" w:rsidRPr="00CE0411" w:rsidRDefault="00174114" w:rsidP="00174114">
      <w:pPr>
        <w:numPr>
          <w:ilvl w:val="0"/>
          <w:numId w:val="2"/>
        </w:numPr>
        <w:spacing w:before="240" w:after="240" w:line="360" w:lineRule="auto"/>
        <w:jc w:val="both"/>
        <w:rPr>
          <w:rFonts w:ascii="David" w:eastAsia="Cambria" w:hAnsi="David"/>
          <w:noProof w:val="0"/>
          <w:rtl/>
        </w:rPr>
      </w:pPr>
      <w:r w:rsidRPr="00CE0411">
        <w:rPr>
          <w:rFonts w:ascii="David" w:eastAsia="Cambria" w:hAnsi="David"/>
          <w:noProof w:val="0"/>
          <w:rtl/>
        </w:rPr>
        <w:t>כמו כן, נקבע כי "</w:t>
      </w:r>
      <w:r w:rsidRPr="00CE0411">
        <w:rPr>
          <w:rFonts w:ascii="David" w:eastAsia="Cambria" w:hAnsi="David"/>
          <w:b/>
          <w:bCs/>
          <w:i/>
          <w:iCs/>
          <w:noProof w:val="0"/>
          <w:rtl/>
        </w:rPr>
        <w:t>שינוי בלתי משמעותי על תוצאותיו צריך להיספג על-ידי הצדדים להתדיינות הקודמת, והם חייבים להתאים עצמם למשמעותו בלי לשוב ולפנות לערכאות</w:t>
      </w:r>
      <w:r w:rsidRPr="00CE0411">
        <w:rPr>
          <w:rFonts w:ascii="David" w:eastAsia="Cambria" w:hAnsi="David"/>
          <w:noProof w:val="0"/>
          <w:rtl/>
        </w:rPr>
        <w:t xml:space="preserve">." [ע"א 177/81 </w:t>
      </w:r>
      <w:r w:rsidRPr="00CE0411">
        <w:rPr>
          <w:rFonts w:ascii="David" w:eastAsia="Cambria" w:hAnsi="David"/>
          <w:noProof w:val="0"/>
          <w:u w:val="single"/>
          <w:rtl/>
        </w:rPr>
        <w:t>רחל גלעדי נ' ד"ר ישראל גלעדי</w:t>
      </w:r>
      <w:r w:rsidRPr="00CE0411">
        <w:rPr>
          <w:rFonts w:ascii="David" w:eastAsia="Cambria" w:hAnsi="David"/>
          <w:noProof w:val="0"/>
          <w:rtl/>
        </w:rPr>
        <w:t>, לו(3) 179 (1982)].</w:t>
      </w:r>
    </w:p>
    <w:p w:rsidR="00174114" w:rsidRPr="00CE0411" w:rsidRDefault="00174114" w:rsidP="00174114">
      <w:pPr>
        <w:numPr>
          <w:ilvl w:val="0"/>
          <w:numId w:val="2"/>
        </w:numPr>
        <w:spacing w:before="240" w:after="240" w:line="360" w:lineRule="auto"/>
        <w:jc w:val="both"/>
        <w:rPr>
          <w:rFonts w:ascii="David" w:eastAsia="Cambria" w:hAnsi="David"/>
          <w:noProof w:val="0"/>
          <w:rtl/>
        </w:rPr>
      </w:pPr>
      <w:r w:rsidRPr="00CE0411">
        <w:rPr>
          <w:rFonts w:ascii="David" w:eastAsia="Cambria" w:hAnsi="David"/>
          <w:noProof w:val="0"/>
          <w:rtl/>
        </w:rPr>
        <w:lastRenderedPageBreak/>
        <w:t xml:space="preserve">עוד יצוין כי כאשר החיוב במזונות נקבע במסגרת הסכם גירושים כולל, שלרוב מסדיר את כלל המחלוקות בין הצדדים, הרי שנושא המזונות אינו עומד בפני עצמו והוא קשור וכרוך בנושאים האחרים שבין הצדדים. ההנחה היא שכאשר הצדדים גיבשו הסכמות ביניהם, הם שיקללו את צרכיהם ביחס לאפשרויות שעמדו בפניהם ובמקרים רבים ההסכמות בנושא אחד היו כרוכות בוויתורים בנושא אחר וזאת מסיבות שונות ומורכבות המאפיינות דינמיקה של משא ומתן. </w:t>
      </w:r>
    </w:p>
    <w:p w:rsidR="00174114" w:rsidRPr="00CE0411" w:rsidRDefault="00174114" w:rsidP="00174114">
      <w:pPr>
        <w:numPr>
          <w:ilvl w:val="0"/>
          <w:numId w:val="2"/>
        </w:numPr>
        <w:spacing w:before="240" w:after="240" w:line="360" w:lineRule="auto"/>
        <w:jc w:val="both"/>
        <w:rPr>
          <w:rFonts w:ascii="David" w:eastAsia="Cambria" w:hAnsi="David"/>
          <w:noProof w:val="0"/>
          <w:rtl/>
        </w:rPr>
      </w:pPr>
      <w:r w:rsidRPr="00CE0411">
        <w:rPr>
          <w:rFonts w:ascii="David" w:eastAsia="Cambria" w:hAnsi="David"/>
          <w:noProof w:val="0"/>
          <w:rtl/>
        </w:rPr>
        <w:t xml:space="preserve">לפיכך, במקרה כזה, ישנו קושי אינהרנטי לבודד את מרכיב המזונות ולשנותו, שכן יש בכך כדי להפר את האיזון העדין בין האינטרסים השונים כפי שסוכמו בין הצדדים. על כן, שינוי בחיוב במזונות במקרים כאלה, אף שהוא אפשרי, מחייב משנה זהירות ולא ייעשה בקלות (ראו: ע"א 4515/92 </w:t>
      </w:r>
      <w:r w:rsidRPr="00CE0411">
        <w:rPr>
          <w:rFonts w:ascii="David" w:eastAsia="Cambria" w:hAnsi="David"/>
          <w:noProof w:val="0"/>
          <w:u w:val="single"/>
          <w:rtl/>
        </w:rPr>
        <w:t>סילביה מרתה שטיין קומרוב נ' לדיסלאו שטיין</w:t>
      </w:r>
      <w:r w:rsidRPr="00CE0411">
        <w:rPr>
          <w:rFonts w:ascii="David" w:eastAsia="Cambria" w:hAnsi="David"/>
          <w:noProof w:val="0"/>
          <w:rtl/>
        </w:rPr>
        <w:t xml:space="preserve"> (נבו 13.06.1994)).</w:t>
      </w:r>
    </w:p>
    <w:p w:rsidR="00174114" w:rsidRPr="00CE0411" w:rsidRDefault="00174114" w:rsidP="00174114">
      <w:pPr>
        <w:numPr>
          <w:ilvl w:val="0"/>
          <w:numId w:val="2"/>
        </w:numPr>
        <w:spacing w:before="240" w:after="240" w:line="360" w:lineRule="auto"/>
        <w:jc w:val="both"/>
        <w:rPr>
          <w:rFonts w:ascii="David" w:eastAsia="Cambria" w:hAnsi="David"/>
          <w:noProof w:val="0"/>
          <w:rtl/>
        </w:rPr>
      </w:pPr>
      <w:r w:rsidRPr="00CE0411">
        <w:rPr>
          <w:rFonts w:ascii="David" w:eastAsia="Cambria" w:hAnsi="David"/>
          <w:noProof w:val="0"/>
          <w:rtl/>
        </w:rPr>
        <w:t>לעניין התחולה הרטרואקטיבית של הלכת בע"מ 919/15 ביחס למזונות שנפסקו לפני קביעת ההלכה, נקבע כי הלכה זו אינה מהווה לכשעצמה שינוי נסיבות ואף אין בה כדי לשנות, לרכך או</w:t>
      </w:r>
      <w:r>
        <w:rPr>
          <w:rFonts w:ascii="David" w:eastAsia="Cambria" w:hAnsi="David" w:hint="cs"/>
          <w:noProof w:val="0"/>
          <w:rtl/>
        </w:rPr>
        <w:t xml:space="preserve"> </w:t>
      </w:r>
      <w:r w:rsidRPr="00CE0411">
        <w:rPr>
          <w:rFonts w:ascii="David" w:eastAsia="Cambria" w:hAnsi="David"/>
          <w:noProof w:val="0"/>
          <w:rtl/>
        </w:rPr>
        <w:t>להשפיע על מבחן שינוי הנסיבות המהותי הנדרש לעיון מחדש בחיוב במזונות (</w:t>
      </w:r>
      <w:r w:rsidRPr="00CE0411">
        <w:rPr>
          <w:rFonts w:ascii="David" w:eastAsia="Cambria" w:hAnsi="David"/>
          <w:noProof w:val="0"/>
          <w:u w:val="single"/>
          <w:rtl/>
        </w:rPr>
        <w:t>בע"מ 7670/18</w:t>
      </w:r>
      <w:r w:rsidRPr="00CE0411">
        <w:rPr>
          <w:rFonts w:ascii="David" w:eastAsia="Cambria" w:hAnsi="David"/>
          <w:noProof w:val="0"/>
          <w:rtl/>
        </w:rPr>
        <w:t xml:space="preserve"> פלונית נ' פלוני (נבו 20.01.2021))</w:t>
      </w:r>
    </w:p>
    <w:p w:rsidR="00174114" w:rsidRPr="00CE0411" w:rsidRDefault="00174114" w:rsidP="00174114">
      <w:pPr>
        <w:numPr>
          <w:ilvl w:val="0"/>
          <w:numId w:val="1"/>
        </w:numPr>
        <w:spacing w:before="240" w:after="240" w:line="360" w:lineRule="auto"/>
        <w:jc w:val="both"/>
        <w:rPr>
          <w:rFonts w:ascii="David" w:eastAsia="Arial" w:hAnsi="David"/>
          <w:b/>
          <w:bCs/>
          <w:noProof w:val="0"/>
          <w:sz w:val="28"/>
          <w:szCs w:val="28"/>
          <w:u w:val="single"/>
          <w:rtl/>
        </w:rPr>
      </w:pPr>
      <w:r w:rsidRPr="00CE0411">
        <w:rPr>
          <w:rFonts w:ascii="David" w:eastAsia="Arial" w:hAnsi="David"/>
          <w:b/>
          <w:bCs/>
          <w:noProof w:val="0"/>
          <w:sz w:val="28"/>
          <w:szCs w:val="28"/>
          <w:u w:val="single"/>
          <w:rtl/>
        </w:rPr>
        <w:t xml:space="preserve"> דיון והכרעה</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לאחר שנתתי דעתי לטיעוני הצדדים ולראיות שהובאו, </w:t>
      </w:r>
      <w:r w:rsidRPr="00CE0411">
        <w:rPr>
          <w:rFonts w:ascii="David" w:eastAsia="Arial" w:hAnsi="David"/>
          <w:b/>
          <w:bCs/>
          <w:noProof w:val="0"/>
          <w:rtl/>
        </w:rPr>
        <w:t>אני מוצא לדחות את תביעת האב</w:t>
      </w:r>
      <w:r w:rsidRPr="00CE0411">
        <w:rPr>
          <w:rFonts w:ascii="David" w:eastAsia="Arial" w:hAnsi="David"/>
          <w:noProof w:val="0"/>
          <w:rtl/>
        </w:rPr>
        <w:t xml:space="preserve"> וזאת משום שהגעתי למסקנה כי לא היה שינוי נסיבות מהותי המצדיק פתיחה מחדש של עניין המזונות בהתאם למבחנים שנקבעו בפסיקה.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בטרם יפורטו הנימוקים, אקדים בהערה לעניין הוספת נספחים וראיות חדשות לסיכומי האב.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בצדק רב, מחתה האם בסיכומיה על כך שהאב צירף לסיכומיו, ללא רשות ובניגוד לכללי סדר הדין, 76 עמודי נספחים וראיות שלא הובאו כחלק מראיותיו בשלב הבאת הראיות ואף עתרה להסרתם מהתיק. </w:t>
      </w:r>
    </w:p>
    <w:p w:rsidR="00174114" w:rsidRPr="00CE0411" w:rsidRDefault="00174114" w:rsidP="00174114">
      <w:pPr>
        <w:numPr>
          <w:ilvl w:val="0"/>
          <w:numId w:val="2"/>
        </w:numPr>
        <w:spacing w:before="240" w:after="240" w:line="360" w:lineRule="auto"/>
        <w:ind w:left="714" w:hanging="357"/>
        <w:jc w:val="both"/>
        <w:rPr>
          <w:rFonts w:ascii="David" w:eastAsia="Arial" w:hAnsi="David"/>
          <w:noProof w:val="0"/>
          <w:rtl/>
        </w:rPr>
      </w:pPr>
      <w:r w:rsidRPr="00CE0411">
        <w:rPr>
          <w:rFonts w:ascii="David" w:eastAsia="Arial" w:hAnsi="David"/>
          <w:noProof w:val="0"/>
          <w:rtl/>
        </w:rPr>
        <w:t>המדובר בהתנהלות פסולה ובלתי מקובלת שפוגעת בזכויות דיוניות ומהותיות של האם. הוספת מסמכים מהותיים וראיות חדשות, ללא רשות, בשלב זה של ההליך</w:t>
      </w:r>
      <w:r>
        <w:rPr>
          <w:rFonts w:ascii="David" w:eastAsia="Arial" w:hAnsi="David" w:hint="cs"/>
          <w:noProof w:val="0"/>
          <w:rtl/>
        </w:rPr>
        <w:t xml:space="preserve"> (שלב הסיכומים)</w:t>
      </w:r>
      <w:r w:rsidRPr="00CE0411">
        <w:rPr>
          <w:rFonts w:ascii="David" w:eastAsia="Arial" w:hAnsi="David"/>
          <w:noProof w:val="0"/>
          <w:rtl/>
        </w:rPr>
        <w:t xml:space="preserve">, אינה מאפשרת לאם למצות את זכותה לחקור את האב לגביהם או להביא ראיות להזמתם.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לפיכך, אני מוצא להתעלם ממסמכים אלה </w:t>
      </w:r>
      <w:r>
        <w:rPr>
          <w:rFonts w:ascii="David" w:eastAsia="Arial" w:hAnsi="David" w:hint="cs"/>
          <w:noProof w:val="0"/>
          <w:rtl/>
        </w:rPr>
        <w:t>ולהורות על הסרתם מחומר הראיות שבתיק</w:t>
      </w:r>
      <w:r w:rsidRPr="00CE0411">
        <w:rPr>
          <w:rFonts w:ascii="David" w:eastAsia="Arial" w:hAnsi="David"/>
          <w:noProof w:val="0"/>
          <w:rtl/>
        </w:rPr>
        <w:t xml:space="preserve">.    </w:t>
      </w:r>
    </w:p>
    <w:p w:rsidR="00174114" w:rsidRPr="00CE0411" w:rsidRDefault="00174114" w:rsidP="00174114">
      <w:pPr>
        <w:tabs>
          <w:tab w:val="left" w:pos="6477"/>
        </w:tabs>
        <w:spacing w:before="240" w:after="240" w:line="360" w:lineRule="auto"/>
        <w:ind w:left="357"/>
        <w:jc w:val="both"/>
        <w:rPr>
          <w:rFonts w:ascii="David" w:eastAsia="Arial" w:hAnsi="David"/>
          <w:noProof w:val="0"/>
          <w:rtl/>
        </w:rPr>
      </w:pPr>
      <w:r w:rsidRPr="00CE0411">
        <w:rPr>
          <w:rFonts w:ascii="David" w:eastAsia="Arial" w:hAnsi="David"/>
          <w:b/>
          <w:bCs/>
          <w:noProof w:val="0"/>
          <w:u w:val="single"/>
          <w:rtl/>
        </w:rPr>
        <w:t xml:space="preserve">ג.1.  לא היה שינוי מהותי במצב האב </w:t>
      </w:r>
    </w:p>
    <w:p w:rsidR="00174114" w:rsidRPr="00CE0411" w:rsidRDefault="00174114" w:rsidP="00174114">
      <w:pPr>
        <w:numPr>
          <w:ilvl w:val="0"/>
          <w:numId w:val="3"/>
        </w:numPr>
        <w:spacing w:before="240" w:after="240" w:line="360" w:lineRule="auto"/>
        <w:ind w:left="708"/>
        <w:jc w:val="both"/>
        <w:rPr>
          <w:rFonts w:ascii="David" w:eastAsia="Arial" w:hAnsi="David"/>
          <w:b/>
          <w:bCs/>
          <w:noProof w:val="0"/>
          <w:u w:val="single"/>
          <w:rtl/>
        </w:rPr>
      </w:pPr>
      <w:r w:rsidRPr="00CE0411">
        <w:rPr>
          <w:rFonts w:ascii="David" w:eastAsia="Arial" w:hAnsi="David"/>
          <w:b/>
          <w:bCs/>
          <w:noProof w:val="0"/>
          <w:u w:val="single"/>
          <w:rtl/>
        </w:rPr>
        <w:lastRenderedPageBreak/>
        <w:t xml:space="preserve">לא היה שינוי לרעה בהכנסת האב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אף האב טוען כי לא היה שינוי </w:t>
      </w:r>
      <w:r w:rsidRPr="00CE0411">
        <w:rPr>
          <w:rFonts w:ascii="David" w:eastAsia="Arial" w:hAnsi="David"/>
          <w:noProof w:val="0"/>
          <w:u w:val="single"/>
          <w:rtl/>
        </w:rPr>
        <w:t>לרעה</w:t>
      </w:r>
      <w:r w:rsidRPr="00CE0411">
        <w:rPr>
          <w:rFonts w:ascii="David" w:eastAsia="Arial" w:hAnsi="David"/>
          <w:noProof w:val="0"/>
          <w:rtl/>
        </w:rPr>
        <w:t xml:space="preserve"> בהכנסתו, שכן לגרסתו שכרו כיום זהה לשכרו בתקופת ההסכם (פיסקה 8 לתצהירי עדות ראשית מטעמו, עמ' 8, ש' 21 לפרוטוקול הדיון). אז וכיום, הנתבע עובד כמהנדס בחברת </w:t>
      </w:r>
      <w:r>
        <w:rPr>
          <w:rFonts w:ascii="David" w:eastAsia="Arial" w:hAnsi="David"/>
          <w:noProof w:val="0"/>
        </w:rPr>
        <w:t>XXXXX</w:t>
      </w:r>
      <w:r w:rsidRPr="00CE0411">
        <w:rPr>
          <w:rFonts w:ascii="David" w:eastAsia="Arial" w:hAnsi="David"/>
          <w:noProof w:val="0"/>
          <w:rtl/>
        </w:rPr>
        <w:t xml:space="preserve">.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מעבר לכך, יש ממש בטענת האם כי שכרו של האב אף השתפר לאורך השנים. כבר אציין כי הגרסאות השונות של האב והיעדר ראיות מספיקות הקשו על קביעת ממצאים ברורים בעניין זה, כאשר עמימות זו נזקפת לחובת האב שהנטל רובץ על כתפיו.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כך, בעוד שהאב טען בתצהיר עדות ראשית כי "</w:t>
      </w:r>
      <w:r w:rsidRPr="00CE0411">
        <w:rPr>
          <w:rFonts w:ascii="David" w:eastAsia="Arial" w:hAnsi="David"/>
          <w:b/>
          <w:bCs/>
          <w:i/>
          <w:iCs/>
          <w:noProof w:val="0"/>
          <w:rtl/>
        </w:rPr>
        <w:t>מבחינה תעסוקתית המצב שלי לא השתנה בשנים האחרונות אין לי כל העלאה בשכר ומשכורתי עומדת על ממוצע שנתי של 12,230 ₪  לחודש</w:t>
      </w:r>
      <w:r w:rsidRPr="00CE0411">
        <w:rPr>
          <w:rFonts w:ascii="David" w:eastAsia="Arial" w:hAnsi="David"/>
          <w:noProof w:val="0"/>
          <w:rtl/>
        </w:rPr>
        <w:t xml:space="preserve">" (ס' 8), ציין בכתב תביעתו כי שכרו בתקופת ההסכם עמד על </w:t>
      </w:r>
      <w:r w:rsidRPr="00CE0411">
        <w:rPr>
          <w:rFonts w:ascii="David" w:eastAsia="Arial" w:hAnsi="David"/>
          <w:b/>
          <w:bCs/>
          <w:noProof w:val="0"/>
          <w:rtl/>
        </w:rPr>
        <w:t>11,000 ₪</w:t>
      </w:r>
      <w:r w:rsidRPr="00CE0411">
        <w:rPr>
          <w:rFonts w:ascii="David" w:eastAsia="Arial" w:hAnsi="David"/>
          <w:noProof w:val="0"/>
          <w:rtl/>
        </w:rPr>
        <w:t xml:space="preserve">  (ס' 20 לתביעה) בעוד שנכון למועד הגשת התביעה שכרו עמד על</w:t>
      </w:r>
      <w:r w:rsidRPr="00CE0411">
        <w:rPr>
          <w:rFonts w:ascii="David" w:eastAsia="Arial" w:hAnsi="David"/>
          <w:b/>
          <w:bCs/>
          <w:noProof w:val="0"/>
          <w:rtl/>
        </w:rPr>
        <w:t xml:space="preserve"> 12,000 ₪</w:t>
      </w:r>
      <w:r w:rsidRPr="00CE0411">
        <w:rPr>
          <w:rFonts w:ascii="David" w:eastAsia="Arial" w:hAnsi="David"/>
          <w:noProof w:val="0"/>
          <w:rtl/>
        </w:rPr>
        <w:t xml:space="preserve"> , קרי עלייה של 1,000 ₪  (ס' 23 ו- 38 לכתב התביעה).</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האם טוענת שאף נתון זה אינו מדויק שכן שכרו הממוצע של האב, לפי תלושי השכר שצורפו לתצהירו, עומד סך של 13,591 ₪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עוד הצביעה האם על הטבות רבות במקום עבודת האב שיש להוסיף להכנסתו, כפי שהאב אישר בחקירתו.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מכל מקום, אף שספק אם שאלה זו רלבנטית לטענות האב, לא ניתן לקבוע כאמור ממצאים בעניין זה, שכן בעוד שהאב צירף לתצהירו תלושי שכר עדכניים</w:t>
      </w:r>
      <w:r w:rsidRPr="00CE0411">
        <w:rPr>
          <w:rFonts w:ascii="David" w:eastAsia="Arial" w:hAnsi="David"/>
          <w:b/>
          <w:bCs/>
          <w:noProof w:val="0"/>
          <w:rtl/>
        </w:rPr>
        <w:t>, הוא נמנע מלצרף תלושי שכר או אסמכתאות לעניין הכנסתו בתקופת ההסכם.</w:t>
      </w:r>
      <w:r w:rsidRPr="00CE0411">
        <w:rPr>
          <w:rFonts w:ascii="David" w:eastAsia="Arial" w:hAnsi="David"/>
          <w:noProof w:val="0"/>
          <w:rtl/>
        </w:rPr>
        <w:t xml:space="preserve"> כמו כן, </w:t>
      </w:r>
      <w:r w:rsidRPr="00CE0411">
        <w:rPr>
          <w:rFonts w:ascii="David" w:eastAsia="Arial" w:hAnsi="David"/>
          <w:b/>
          <w:bCs/>
          <w:noProof w:val="0"/>
          <w:rtl/>
        </w:rPr>
        <w:t>האב לא צירף הסכם העסקה עדכני או הסכם העסקה מתקופת ההסכם</w:t>
      </w:r>
      <w:r w:rsidRPr="00CE0411">
        <w:rPr>
          <w:rFonts w:ascii="David" w:eastAsia="Arial" w:hAnsi="David"/>
          <w:noProof w:val="0"/>
          <w:rtl/>
        </w:rPr>
        <w:t xml:space="preserve">, ולפיכך לא ניתן להשוות בין תנאי העסקתו היום לעומת העבר. </w:t>
      </w:r>
    </w:p>
    <w:p w:rsidR="00174114" w:rsidRPr="00CE0411" w:rsidRDefault="00174114" w:rsidP="00174114">
      <w:pPr>
        <w:numPr>
          <w:ilvl w:val="0"/>
          <w:numId w:val="3"/>
        </w:numPr>
        <w:spacing w:before="240" w:after="240" w:line="360" w:lineRule="auto"/>
        <w:ind w:left="708"/>
        <w:jc w:val="both"/>
        <w:rPr>
          <w:rFonts w:ascii="David" w:eastAsia="Arial" w:hAnsi="David"/>
          <w:b/>
          <w:bCs/>
          <w:noProof w:val="0"/>
          <w:u w:val="single"/>
          <w:rtl/>
        </w:rPr>
      </w:pPr>
      <w:r w:rsidRPr="00CE0411">
        <w:rPr>
          <w:rFonts w:ascii="David" w:eastAsia="Arial" w:hAnsi="David"/>
          <w:b/>
          <w:bCs/>
          <w:noProof w:val="0"/>
          <w:u w:val="single"/>
          <w:rtl/>
        </w:rPr>
        <w:t>מצבו הכלכלי של האב</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האב טען כי "</w:t>
      </w:r>
      <w:r w:rsidRPr="00CE0411">
        <w:rPr>
          <w:rFonts w:ascii="David" w:eastAsia="Arial" w:hAnsi="David"/>
          <w:b/>
          <w:bCs/>
          <w:i/>
          <w:iCs/>
          <w:noProof w:val="0"/>
          <w:rtl/>
        </w:rPr>
        <w:t>במהלך השנים האחרונות שכרו של התובע לא השתנה והמשבר הגדול במדינה לא תרם למצבו הכלכלי שרק הלך והחריף התובע נקלע לקשיים כלכליים וצבר חובות…" (</w:t>
      </w:r>
      <w:r w:rsidRPr="00CE0411">
        <w:rPr>
          <w:rFonts w:ascii="David" w:eastAsia="Arial" w:hAnsi="David"/>
          <w:noProof w:val="0"/>
          <w:rtl/>
        </w:rPr>
        <w:t>ס' 25 לכתב התביעה) וכן כי "</w:t>
      </w:r>
      <w:r w:rsidRPr="00CE0411">
        <w:rPr>
          <w:rFonts w:ascii="David" w:eastAsia="Arial" w:hAnsi="David"/>
          <w:b/>
          <w:bCs/>
          <w:i/>
          <w:iCs/>
          <w:noProof w:val="0"/>
          <w:rtl/>
        </w:rPr>
        <w:t>לולא עזרתם של הוריו ותמיכתם לא יכול התובע לשרוד כיום כלל ועיקר</w:t>
      </w:r>
      <w:r w:rsidRPr="00CE0411">
        <w:rPr>
          <w:rFonts w:ascii="David" w:eastAsia="Arial" w:hAnsi="David"/>
          <w:noProof w:val="0"/>
          <w:rtl/>
        </w:rPr>
        <w:t xml:space="preserve">".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גם בחקירתו טען האב כי הוא חי</w:t>
      </w:r>
      <w:r>
        <w:rPr>
          <w:rFonts w:ascii="David" w:eastAsia="Arial" w:hAnsi="David" w:hint="cs"/>
          <w:noProof w:val="0"/>
          <w:rtl/>
        </w:rPr>
        <w:t>י</w:t>
      </w:r>
      <w:r w:rsidRPr="00CE0411">
        <w:rPr>
          <w:rFonts w:ascii="David" w:eastAsia="Arial" w:hAnsi="David"/>
          <w:noProof w:val="0"/>
          <w:rtl/>
        </w:rPr>
        <w:t>ב כספים "</w:t>
      </w:r>
      <w:r w:rsidRPr="00CE0411">
        <w:rPr>
          <w:rFonts w:ascii="David" w:eastAsia="Arial" w:hAnsi="David"/>
          <w:b/>
          <w:bCs/>
          <w:i/>
          <w:iCs/>
          <w:noProof w:val="0"/>
          <w:rtl/>
        </w:rPr>
        <w:t>לכל המדינה</w:t>
      </w:r>
      <w:r w:rsidRPr="00CE0411">
        <w:rPr>
          <w:rFonts w:ascii="David" w:eastAsia="Arial" w:hAnsi="David"/>
          <w:noProof w:val="0"/>
          <w:rtl/>
        </w:rPr>
        <w:t xml:space="preserve">" (עמ' 14, ש' 21 לפרוטוקול).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b/>
          <w:bCs/>
          <w:noProof w:val="0"/>
          <w:rtl/>
        </w:rPr>
        <w:lastRenderedPageBreak/>
        <w:t>אין בידי לקבל טענה זו של התובע</w:t>
      </w:r>
      <w:r w:rsidRPr="00CE0411">
        <w:rPr>
          <w:rFonts w:ascii="David" w:eastAsia="Arial" w:hAnsi="David"/>
          <w:noProof w:val="0"/>
          <w:rtl/>
        </w:rPr>
        <w:t xml:space="preserve"> וזאת משום </w:t>
      </w:r>
      <w:r w:rsidRPr="00CE0411">
        <w:rPr>
          <w:rFonts w:ascii="David" w:eastAsia="Arial" w:hAnsi="David"/>
          <w:b/>
          <w:bCs/>
          <w:noProof w:val="0"/>
          <w:u w:val="single"/>
          <w:rtl/>
        </w:rPr>
        <w:t>שלא הובאו לכך כל ראיות</w:t>
      </w:r>
      <w:r w:rsidRPr="00CE0411">
        <w:rPr>
          <w:rFonts w:ascii="David" w:eastAsia="Arial" w:hAnsi="David"/>
          <w:noProof w:val="0"/>
          <w:rtl/>
        </w:rPr>
        <w:t xml:space="preserve">, בלשון המעטה. נהפוך הוא, הראיות שהוצגו על ידי האב עצמו מציירות לכאורה מצב כלכלי טוב ויציב, כפי שיפורט.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 </w:t>
      </w:r>
      <w:r w:rsidRPr="00CE0411">
        <w:rPr>
          <w:rFonts w:ascii="David" w:eastAsia="Arial" w:hAnsi="David"/>
          <w:b/>
          <w:bCs/>
          <w:noProof w:val="0"/>
          <w:rtl/>
        </w:rPr>
        <w:t>ראשית</w:t>
      </w:r>
      <w:r w:rsidRPr="00CE0411">
        <w:rPr>
          <w:rFonts w:ascii="David" w:eastAsia="Arial" w:hAnsi="David"/>
          <w:noProof w:val="0"/>
          <w:rtl/>
        </w:rPr>
        <w:t xml:space="preserve">, תדפיסי הבנק שצורפו על ידי האב מצביעות על </w:t>
      </w:r>
      <w:r w:rsidRPr="00CE0411">
        <w:rPr>
          <w:rFonts w:ascii="David" w:eastAsia="Arial" w:hAnsi="David"/>
          <w:b/>
          <w:bCs/>
          <w:noProof w:val="0"/>
          <w:rtl/>
        </w:rPr>
        <w:t>יתרת זכות</w:t>
      </w:r>
      <w:r w:rsidRPr="00CE0411">
        <w:rPr>
          <w:rFonts w:ascii="David" w:eastAsia="Arial" w:hAnsi="David"/>
          <w:noProof w:val="0"/>
          <w:rtl/>
        </w:rPr>
        <w:t xml:space="preserve"> קבועה ויפה.</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כך, מתדפיסי חשבון בנק שצורפו לתביעה (נספח 4) המתייחסים לתקופה שבין מרץ 22 ועד דצמבר 22, עולה כי החשבון עומד לאורך כל התקופה על </w:t>
      </w:r>
      <w:r w:rsidRPr="00CE0411">
        <w:rPr>
          <w:rFonts w:ascii="David" w:eastAsia="Arial" w:hAnsi="David"/>
          <w:b/>
          <w:bCs/>
          <w:noProof w:val="0"/>
          <w:rtl/>
        </w:rPr>
        <w:t>יתרת זכות</w:t>
      </w:r>
      <w:r w:rsidRPr="00CE0411">
        <w:rPr>
          <w:rFonts w:ascii="David" w:eastAsia="Arial" w:hAnsi="David"/>
          <w:noProof w:val="0"/>
          <w:rtl/>
        </w:rPr>
        <w:t xml:space="preserve"> שנעה בין 4,300 ₪  ל- 37,000 ₪.  </w:t>
      </w:r>
    </w:p>
    <w:p w:rsidR="00174114" w:rsidRPr="00CE0411" w:rsidRDefault="00174114" w:rsidP="00174114">
      <w:pPr>
        <w:numPr>
          <w:ilvl w:val="0"/>
          <w:numId w:val="2"/>
        </w:numPr>
        <w:tabs>
          <w:tab w:val="left" w:pos="6477"/>
        </w:tabs>
        <w:spacing w:before="240" w:after="240" w:line="360" w:lineRule="auto"/>
        <w:ind w:left="714" w:hanging="357"/>
        <w:jc w:val="both"/>
        <w:rPr>
          <w:rFonts w:ascii="David" w:eastAsia="Arial" w:hAnsi="David"/>
          <w:noProof w:val="0"/>
          <w:rtl/>
        </w:rPr>
      </w:pPr>
      <w:r w:rsidRPr="00CE0411">
        <w:rPr>
          <w:rFonts w:ascii="David" w:eastAsia="Arial" w:hAnsi="David"/>
          <w:noProof w:val="0"/>
          <w:rtl/>
        </w:rPr>
        <w:t xml:space="preserve">כמו כן, מדפיסי חשבון בנק </w:t>
      </w:r>
      <w:r>
        <w:rPr>
          <w:rFonts w:ascii="David" w:eastAsia="Arial" w:hAnsi="David" w:hint="cs"/>
          <w:noProof w:val="0"/>
        </w:rPr>
        <w:t>XXX</w:t>
      </w:r>
      <w:r>
        <w:rPr>
          <w:rFonts w:ascii="David" w:eastAsia="Arial" w:hAnsi="David" w:hint="cs"/>
          <w:noProof w:val="0"/>
          <w:rtl/>
        </w:rPr>
        <w:t xml:space="preserve"> </w:t>
      </w:r>
      <w:r w:rsidRPr="00CE0411">
        <w:rPr>
          <w:rFonts w:ascii="David" w:eastAsia="Arial" w:hAnsi="David"/>
          <w:noProof w:val="0"/>
          <w:rtl/>
        </w:rPr>
        <w:t xml:space="preserve">שצורפו לתצהיר עדות ראשית, שמתייחסים לתקופה שבין מרץ 23 לאוקטובר 23, עולה כי החשבון עומד לאורך כל התקופה על </w:t>
      </w:r>
      <w:r w:rsidRPr="00CE0411">
        <w:rPr>
          <w:rFonts w:ascii="David" w:eastAsia="Arial" w:hAnsi="David"/>
          <w:b/>
          <w:bCs/>
          <w:noProof w:val="0"/>
          <w:rtl/>
        </w:rPr>
        <w:t>יתרת זכות</w:t>
      </w:r>
      <w:r w:rsidRPr="00CE0411">
        <w:rPr>
          <w:rFonts w:ascii="David" w:eastAsia="Arial" w:hAnsi="David"/>
          <w:noProof w:val="0"/>
          <w:rtl/>
        </w:rPr>
        <w:t xml:space="preserve"> שנעה בין 20,000 ₪  ל- 50,000 ₪ .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גם תדפיסי בנק </w:t>
      </w:r>
      <w:r>
        <w:rPr>
          <w:rFonts w:ascii="David" w:eastAsia="Arial" w:hAnsi="David" w:hint="cs"/>
          <w:noProof w:val="0"/>
        </w:rPr>
        <w:t>XXXY</w:t>
      </w:r>
      <w:r w:rsidRPr="00CE0411">
        <w:rPr>
          <w:rFonts w:ascii="David" w:eastAsia="Arial" w:hAnsi="David"/>
          <w:noProof w:val="0"/>
          <w:rtl/>
        </w:rPr>
        <w:t xml:space="preserve"> מהתקופה שבין דצמבר 22 למרץ 23 מצביעים על </w:t>
      </w:r>
      <w:r w:rsidRPr="00CE0411">
        <w:rPr>
          <w:rFonts w:ascii="David" w:eastAsia="Arial" w:hAnsi="David"/>
          <w:b/>
          <w:bCs/>
          <w:noProof w:val="0"/>
          <w:rtl/>
        </w:rPr>
        <w:t xml:space="preserve">יתרת זכות </w:t>
      </w:r>
      <w:r w:rsidRPr="00CE0411">
        <w:rPr>
          <w:rFonts w:ascii="David" w:eastAsia="Arial" w:hAnsi="David"/>
          <w:noProof w:val="0"/>
          <w:rtl/>
        </w:rPr>
        <w:t xml:space="preserve">ממוצעת בסך של 40,000 ₪  (צורפו לתצהיר).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אומנם, מהתדפיסים עולה כי התובע נטל הלוואות, אלא שלא ברור לאיזו מטרה ומדוע הן נדרשו נוכח מצב החשבון. כך למשל עולה כי ביוני 23 כאשר יתרת זכות בחשבון עמדה על סך כ- 25,000 ₪,  נטל האב הלוואה בסך 30,000 ₪  באופן שהקפיץ את יתרת הזכות לסכום בסך 60,000 ₪ .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מעבר לאמור לעיל, האב לא צירף הרצאת פרטים, כך שלא ניתן לדעת מה מצבו הכלכלי לאשורו, כאשר יש לזקוף מחדל זה לחובתו של התובע.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שנית</w:t>
      </w:r>
      <w:r w:rsidRPr="00CE0411">
        <w:rPr>
          <w:rFonts w:ascii="David" w:eastAsia="Arial" w:hAnsi="David"/>
          <w:noProof w:val="0"/>
          <w:rtl/>
        </w:rPr>
        <w:t xml:space="preserve">, האב טען כאמור שהוא צבר חובות, לרבות בגין תשלומים שוטפים, אלא שהאב לא תמך טענתו זו בראיה כלשהי.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שלישית</w:t>
      </w:r>
      <w:r w:rsidRPr="00CE0411">
        <w:rPr>
          <w:rFonts w:ascii="David" w:eastAsia="Arial" w:hAnsi="David"/>
          <w:noProof w:val="0"/>
          <w:rtl/>
        </w:rPr>
        <w:t xml:space="preserve">, בניגוד לטענתו בכתב התביעה כי הוא נעזר בהוריו, האב שלל בחקירתו כי הוריו או חברים מלווים לו כספים או עוזרים לו (עמ' 14, ש' 29 לפרוטוקול הדיון).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רביעית</w:t>
      </w:r>
      <w:r w:rsidRPr="00CE0411">
        <w:rPr>
          <w:rFonts w:ascii="David" w:eastAsia="Arial" w:hAnsi="David"/>
          <w:noProof w:val="0"/>
          <w:rtl/>
        </w:rPr>
        <w:t>, האב אישר כי הפקיד סך של 80,000 ₪  שקיבל מביטוח לאומי בחיסכון "</w:t>
      </w:r>
      <w:r w:rsidRPr="00CE0411">
        <w:rPr>
          <w:rFonts w:ascii="David" w:eastAsia="Arial" w:hAnsi="David"/>
          <w:b/>
          <w:bCs/>
          <w:i/>
          <w:iCs/>
          <w:noProof w:val="0"/>
          <w:rtl/>
        </w:rPr>
        <w:t>לטובת העתיד הרפואי</w:t>
      </w:r>
      <w:r w:rsidRPr="00CE0411">
        <w:rPr>
          <w:rFonts w:ascii="David" w:eastAsia="Arial" w:hAnsi="David"/>
          <w:noProof w:val="0"/>
          <w:rtl/>
        </w:rPr>
        <w:t xml:space="preserve">" שלו (עמ' 15, ש' 3-4 לפרוטוקול), דבר שמעיד כי מצבו הכלכלי מאפשר לו לשמור כספים ליום סגריר.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 xml:space="preserve">חמישית, </w:t>
      </w:r>
      <w:r w:rsidRPr="00CE0411">
        <w:rPr>
          <w:rFonts w:ascii="David" w:eastAsia="Arial" w:hAnsi="David"/>
          <w:noProof w:val="0"/>
          <w:rtl/>
        </w:rPr>
        <w:t xml:space="preserve">האב טוען לשינוי במצבו הכלכלי אף בשל עלייה ביוקר המחייה, אלא שטיעון זה אינו רלבנטי, שכן חזקה שיוקר המחייה משפיע על כולם, לרבות על האם, באותה מידה. </w:t>
      </w:r>
    </w:p>
    <w:p w:rsidR="00174114" w:rsidRPr="00CE0411" w:rsidRDefault="00174114" w:rsidP="00174114">
      <w:pPr>
        <w:numPr>
          <w:ilvl w:val="0"/>
          <w:numId w:val="3"/>
        </w:numPr>
        <w:spacing w:before="240" w:after="240" w:line="360" w:lineRule="auto"/>
        <w:ind w:left="360"/>
        <w:jc w:val="both"/>
        <w:rPr>
          <w:rFonts w:ascii="David" w:eastAsia="Arial" w:hAnsi="David"/>
          <w:b/>
          <w:bCs/>
          <w:noProof w:val="0"/>
          <w:u w:val="single"/>
          <w:rtl/>
        </w:rPr>
      </w:pPr>
      <w:r w:rsidRPr="00CE0411">
        <w:rPr>
          <w:rFonts w:ascii="David" w:eastAsia="Arial" w:hAnsi="David"/>
          <w:b/>
          <w:bCs/>
          <w:noProof w:val="0"/>
          <w:u w:val="single"/>
          <w:rtl/>
        </w:rPr>
        <w:lastRenderedPageBreak/>
        <w:t xml:space="preserve">מצבו הרפואי של האב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האב טען בתצהירו כי הוא "</w:t>
      </w:r>
      <w:r w:rsidRPr="00CE0411">
        <w:rPr>
          <w:rFonts w:ascii="David" w:eastAsia="Arial" w:hAnsi="David"/>
          <w:b/>
          <w:bCs/>
          <w:i/>
          <w:iCs/>
          <w:noProof w:val="0"/>
          <w:rtl/>
        </w:rPr>
        <w:t xml:space="preserve">סובל מנכות </w:t>
      </w:r>
      <w:r>
        <w:rPr>
          <w:rFonts w:ascii="David" w:eastAsia="Arial" w:hAnsi="David" w:hint="cs"/>
          <w:b/>
          <w:bCs/>
          <w:i/>
          <w:iCs/>
          <w:noProof w:val="0"/>
          <w:rtl/>
        </w:rPr>
        <w:t>ב</w:t>
      </w:r>
      <w:r>
        <w:rPr>
          <w:rFonts w:ascii="David" w:eastAsia="Arial" w:hAnsi="David" w:hint="cs"/>
          <w:b/>
          <w:bCs/>
          <w:i/>
          <w:iCs/>
          <w:noProof w:val="0"/>
        </w:rPr>
        <w:t>XXX</w:t>
      </w:r>
      <w:r w:rsidRPr="00CE0411">
        <w:rPr>
          <w:rFonts w:ascii="David" w:eastAsia="Arial" w:hAnsi="David"/>
          <w:b/>
          <w:bCs/>
          <w:i/>
          <w:iCs/>
          <w:noProof w:val="0"/>
          <w:rtl/>
        </w:rPr>
        <w:t xml:space="preserve"> כ- 14.5% משנת 2008</w:t>
      </w:r>
      <w:r w:rsidRPr="00CE0411">
        <w:rPr>
          <w:rFonts w:ascii="David" w:eastAsia="Arial" w:hAnsi="David"/>
          <w:noProof w:val="0"/>
          <w:rtl/>
        </w:rPr>
        <w:t xml:space="preserve">" וכי לאחרונה הוכרו לו </w:t>
      </w:r>
      <w:r w:rsidRPr="00CE0411">
        <w:rPr>
          <w:rFonts w:ascii="David" w:eastAsia="Arial" w:hAnsi="David"/>
          <w:b/>
          <w:bCs/>
          <w:i/>
          <w:iCs/>
          <w:noProof w:val="0"/>
          <w:rtl/>
        </w:rPr>
        <w:t xml:space="preserve">"נכויות נוספות בגובה 10 אחוז בשל כאבים ומוגבלות </w:t>
      </w:r>
      <w:r>
        <w:rPr>
          <w:rFonts w:ascii="David" w:eastAsia="Arial" w:hAnsi="David" w:hint="cs"/>
          <w:b/>
          <w:bCs/>
          <w:i/>
          <w:iCs/>
          <w:noProof w:val="0"/>
          <w:rtl/>
        </w:rPr>
        <w:t>ב</w:t>
      </w:r>
      <w:r>
        <w:rPr>
          <w:rFonts w:ascii="David" w:eastAsia="Arial" w:hAnsi="David" w:hint="cs"/>
          <w:b/>
          <w:bCs/>
          <w:i/>
          <w:iCs/>
          <w:noProof w:val="0"/>
        </w:rPr>
        <w:t>XX</w:t>
      </w:r>
      <w:r w:rsidRPr="00CE0411">
        <w:rPr>
          <w:rFonts w:ascii="David" w:eastAsia="Arial" w:hAnsi="David"/>
          <w:b/>
          <w:bCs/>
          <w:i/>
          <w:iCs/>
          <w:noProof w:val="0"/>
          <w:rtl/>
        </w:rPr>
        <w:t xml:space="preserve"> ועוד 5 אחוז על ה</w:t>
      </w:r>
      <w:r>
        <w:rPr>
          <w:rFonts w:ascii="David" w:eastAsia="Arial" w:hAnsi="David" w:hint="cs"/>
          <w:b/>
          <w:bCs/>
          <w:i/>
          <w:iCs/>
          <w:noProof w:val="0"/>
        </w:rPr>
        <w:t>XXX</w:t>
      </w:r>
      <w:r w:rsidRPr="00CE0411">
        <w:rPr>
          <w:rFonts w:ascii="David" w:eastAsia="Arial" w:hAnsi="David"/>
          <w:b/>
          <w:bCs/>
          <w:i/>
          <w:iCs/>
          <w:noProof w:val="0"/>
          <w:rtl/>
        </w:rPr>
        <w:t xml:space="preserve"> כתוצאה משתי תאונות דרכים</w:t>
      </w:r>
      <w:r w:rsidRPr="00CE0411">
        <w:rPr>
          <w:rFonts w:ascii="David" w:eastAsia="Arial" w:hAnsi="David"/>
          <w:noProof w:val="0"/>
          <w:rtl/>
        </w:rPr>
        <w:t xml:space="preserve">" (ס' 11-12 לתצהיר עדות ראשית). התובע תמך טענות אלה באישורים מהמל"ל.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עוד נטען כי מצב רפואי זה גורם להוצאות גבוהות בגין טיפולים בסך של 1,200 ₪ .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למרות האמור, לא מצאתי כי מצבו הרפואי של האב מהווה שינוי נסיבות מהותי הרלבנטי למזונות שנפסקו וזאת ממספר טעמים.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ראשית</w:t>
      </w:r>
      <w:r w:rsidRPr="00CE0411">
        <w:rPr>
          <w:rFonts w:ascii="David" w:eastAsia="Arial" w:hAnsi="David"/>
          <w:noProof w:val="0"/>
          <w:rtl/>
        </w:rPr>
        <w:t>, טענה זו של ה</w:t>
      </w:r>
      <w:r>
        <w:rPr>
          <w:rFonts w:ascii="David" w:eastAsia="Arial" w:hAnsi="David" w:hint="cs"/>
          <w:noProof w:val="0"/>
          <w:rtl/>
        </w:rPr>
        <w:t>אב</w:t>
      </w:r>
      <w:r w:rsidRPr="00CE0411">
        <w:rPr>
          <w:rFonts w:ascii="David" w:eastAsia="Arial" w:hAnsi="David"/>
          <w:noProof w:val="0"/>
          <w:rtl/>
        </w:rPr>
        <w:t xml:space="preserve"> נטענה לראשונה בתצהיר עדות ראשית ונפקדה לחלוטין מכתב התביעה. לכן ומשלא התבקש תיקון כתב התביעה, אני מקבל את התנגדות האם להרחבת חזית אסורה.</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עוד יצוין כי תביעת האב הוגשה ב</w:t>
      </w:r>
      <w:r>
        <w:rPr>
          <w:rFonts w:ascii="David" w:eastAsia="Arial" w:hAnsi="David" w:hint="cs"/>
          <w:noProof w:val="0"/>
          <w:rtl/>
        </w:rPr>
        <w:t>שנת</w:t>
      </w:r>
      <w:r w:rsidRPr="00CE0411">
        <w:rPr>
          <w:rFonts w:ascii="David" w:eastAsia="Arial" w:hAnsi="David"/>
          <w:noProof w:val="0"/>
          <w:rtl/>
        </w:rPr>
        <w:t xml:space="preserve"> 22. עיון באישורי המל"ל שצורפו לתצהיר האב מלמד כי הפגיעה המשמעותית, שהותירה נכות צמיתה בשיעור של 10% הינה מיום </w:t>
      </w:r>
      <w:r>
        <w:rPr>
          <w:rFonts w:ascii="David" w:eastAsia="Arial" w:hAnsi="David" w:hint="cs"/>
          <w:noProof w:val="0"/>
          <w:rtl/>
        </w:rPr>
        <w:t>שנת 21</w:t>
      </w:r>
      <w:r w:rsidRPr="00CE0411">
        <w:rPr>
          <w:rFonts w:ascii="David" w:eastAsia="Arial" w:hAnsi="David"/>
          <w:noProof w:val="0"/>
          <w:rtl/>
        </w:rPr>
        <w:t xml:space="preserve">, קרי יותר משנה לפני הגשת התביעה. על כן, לא הייתה כל הצדקה לאי הכללת טענה זו בכתב התביעה.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שנית</w:t>
      </w:r>
      <w:r w:rsidRPr="00CE0411">
        <w:rPr>
          <w:rFonts w:ascii="David" w:eastAsia="Arial" w:hAnsi="David"/>
          <w:noProof w:val="0"/>
          <w:rtl/>
        </w:rPr>
        <w:t>, אף לגרסת ה</w:t>
      </w:r>
      <w:r>
        <w:rPr>
          <w:rFonts w:ascii="David" w:eastAsia="Arial" w:hAnsi="David" w:hint="cs"/>
          <w:noProof w:val="0"/>
          <w:rtl/>
        </w:rPr>
        <w:t>אב</w:t>
      </w:r>
      <w:r w:rsidRPr="00CE0411">
        <w:rPr>
          <w:rFonts w:ascii="David" w:eastAsia="Arial" w:hAnsi="David"/>
          <w:noProof w:val="0"/>
          <w:rtl/>
        </w:rPr>
        <w:t>, הנכות לא פגעה כהוא זה בהכנסתו, שנותרה כאמור ללא שינוי לרעה.</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שלישית</w:t>
      </w:r>
      <w:r w:rsidRPr="00CE0411">
        <w:rPr>
          <w:rFonts w:ascii="David" w:eastAsia="Arial" w:hAnsi="David"/>
          <w:noProof w:val="0"/>
          <w:rtl/>
        </w:rPr>
        <w:t>, בגין נכויות אלו, ה</w:t>
      </w:r>
      <w:r>
        <w:rPr>
          <w:rFonts w:ascii="David" w:eastAsia="Arial" w:hAnsi="David" w:hint="cs"/>
          <w:noProof w:val="0"/>
          <w:rtl/>
        </w:rPr>
        <w:t>אב</w:t>
      </w:r>
      <w:r w:rsidRPr="00CE0411">
        <w:rPr>
          <w:rFonts w:ascii="David" w:eastAsia="Arial" w:hAnsi="David"/>
          <w:noProof w:val="0"/>
          <w:rtl/>
        </w:rPr>
        <w:t xml:space="preserve"> קיבל פיצוי מהמל"ל (סך של 21,765 ₪ וסך של 88,193 ₪). סכומים אלה נועדו לשמש </w:t>
      </w:r>
      <w:r>
        <w:rPr>
          <w:rFonts w:ascii="David" w:eastAsia="Arial" w:hAnsi="David" w:hint="cs"/>
          <w:noProof w:val="0"/>
          <w:rtl/>
        </w:rPr>
        <w:t>את האב</w:t>
      </w:r>
      <w:r w:rsidRPr="00CE0411">
        <w:rPr>
          <w:rFonts w:ascii="David" w:eastAsia="Arial" w:hAnsi="David"/>
          <w:noProof w:val="0"/>
          <w:rtl/>
        </w:rPr>
        <w:t>, בין היתר, לכיסוי ההוצאות הנוספות שנגרמו לו מהנכויות, כפי שה</w:t>
      </w:r>
      <w:r>
        <w:rPr>
          <w:rFonts w:ascii="David" w:eastAsia="Arial" w:hAnsi="David" w:hint="cs"/>
          <w:noProof w:val="0"/>
          <w:rtl/>
        </w:rPr>
        <w:t>וא</w:t>
      </w:r>
      <w:r w:rsidRPr="00CE0411">
        <w:rPr>
          <w:rFonts w:ascii="David" w:eastAsia="Arial" w:hAnsi="David"/>
          <w:noProof w:val="0"/>
          <w:rtl/>
        </w:rPr>
        <w:t xml:space="preserve"> בעצמו מאשר (עמ' 15, ש' 17 לפרוטוקול). </w:t>
      </w:r>
    </w:p>
    <w:p w:rsidR="00174114" w:rsidRPr="00CE0411" w:rsidRDefault="00174114" w:rsidP="00174114">
      <w:pPr>
        <w:tabs>
          <w:tab w:val="left" w:pos="6477"/>
        </w:tabs>
        <w:spacing w:before="240" w:after="240" w:line="360" w:lineRule="auto"/>
        <w:jc w:val="both"/>
        <w:rPr>
          <w:rFonts w:ascii="David" w:eastAsia="Arial" w:hAnsi="David"/>
          <w:b/>
          <w:bCs/>
          <w:noProof w:val="0"/>
          <w:u w:val="single"/>
          <w:rtl/>
        </w:rPr>
      </w:pPr>
      <w:r w:rsidRPr="00CE0411">
        <w:rPr>
          <w:rFonts w:ascii="David" w:eastAsia="Arial" w:hAnsi="David"/>
          <w:b/>
          <w:bCs/>
          <w:noProof w:val="0"/>
          <w:rtl/>
        </w:rPr>
        <w:t xml:space="preserve">ג.2 </w:t>
      </w:r>
      <w:r w:rsidRPr="00CE0411">
        <w:rPr>
          <w:rFonts w:ascii="David" w:eastAsia="Arial" w:hAnsi="David"/>
          <w:b/>
          <w:bCs/>
          <w:noProof w:val="0"/>
          <w:u w:val="single"/>
          <w:rtl/>
        </w:rPr>
        <w:t xml:space="preserve">שינוי במצבה של האם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באשר למצבה של האם, ה</w:t>
      </w:r>
      <w:r>
        <w:rPr>
          <w:rFonts w:ascii="David" w:eastAsia="Arial" w:hAnsi="David" w:hint="cs"/>
          <w:noProof w:val="0"/>
          <w:rtl/>
        </w:rPr>
        <w:t>אב</w:t>
      </w:r>
      <w:r w:rsidRPr="00CE0411">
        <w:rPr>
          <w:rFonts w:ascii="David" w:eastAsia="Arial" w:hAnsi="David"/>
          <w:noProof w:val="0"/>
          <w:rtl/>
        </w:rPr>
        <w:t xml:space="preserve"> טוען לשינויים בשני מישורים: </w:t>
      </w:r>
      <w:r w:rsidRPr="00CE0411">
        <w:rPr>
          <w:rFonts w:ascii="David" w:eastAsia="Arial" w:hAnsi="David"/>
          <w:b/>
          <w:bCs/>
          <w:noProof w:val="0"/>
          <w:rtl/>
        </w:rPr>
        <w:t>ראשית</w:t>
      </w:r>
      <w:r w:rsidRPr="00CE0411">
        <w:rPr>
          <w:rFonts w:ascii="David" w:eastAsia="Arial" w:hAnsi="David"/>
          <w:noProof w:val="0"/>
          <w:rtl/>
        </w:rPr>
        <w:t>, לטענת האב, האם "</w:t>
      </w:r>
      <w:r w:rsidRPr="00CE0411">
        <w:rPr>
          <w:rFonts w:ascii="David" w:eastAsia="Arial" w:hAnsi="David"/>
          <w:b/>
          <w:bCs/>
          <w:i/>
          <w:iCs/>
          <w:noProof w:val="0"/>
          <w:rtl/>
        </w:rPr>
        <w:t>מיד לאחר פסק הדין</w:t>
      </w:r>
      <w:r w:rsidRPr="00CE0411">
        <w:rPr>
          <w:rFonts w:ascii="David" w:eastAsia="Arial" w:hAnsi="David"/>
          <w:noProof w:val="0"/>
          <w:rtl/>
        </w:rPr>
        <w:t xml:space="preserve"> </w:t>
      </w:r>
      <w:r w:rsidRPr="00CE0411">
        <w:rPr>
          <w:rFonts w:ascii="David" w:eastAsia="Arial" w:hAnsi="David"/>
          <w:b/>
          <w:bCs/>
          <w:i/>
          <w:iCs/>
          <w:noProof w:val="0"/>
          <w:rtl/>
        </w:rPr>
        <w:t>קיבלה העלאה בשכר והינה משתכרת כיום ככל הידוע לתובע שכר של כ- 15,000 ₪  לחודש</w:t>
      </w:r>
      <w:r w:rsidRPr="00CE0411">
        <w:rPr>
          <w:rFonts w:ascii="David" w:eastAsia="Arial" w:hAnsi="David"/>
          <w:noProof w:val="0"/>
          <w:rtl/>
        </w:rPr>
        <w:t>" (ס' 34 לכתב התביעה).</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יצוין כי בתקופת ההסכם, השתכרה ה</w:t>
      </w:r>
      <w:r>
        <w:rPr>
          <w:rFonts w:ascii="David" w:eastAsia="Arial" w:hAnsi="David" w:hint="cs"/>
          <w:noProof w:val="0"/>
          <w:rtl/>
        </w:rPr>
        <w:t>אם</w:t>
      </w:r>
      <w:r w:rsidRPr="00CE0411">
        <w:rPr>
          <w:rFonts w:ascii="David" w:eastAsia="Arial" w:hAnsi="David"/>
          <w:noProof w:val="0"/>
          <w:rtl/>
        </w:rPr>
        <w:t xml:space="preserve"> סך של 11,000 ₪ לחודש וכיום היא משתכרת כ- 15,000 ₪.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lastRenderedPageBreak/>
        <w:t>לטענת האם, המדובר בשינוי צפוי שכן "</w:t>
      </w:r>
      <w:r w:rsidRPr="00CE0411">
        <w:rPr>
          <w:rFonts w:ascii="David" w:eastAsia="Arial" w:hAnsi="David"/>
          <w:b/>
          <w:bCs/>
          <w:i/>
          <w:iCs/>
          <w:noProof w:val="0"/>
          <w:rtl/>
        </w:rPr>
        <w:t>עם הגירושין, קיום הסדרי שהות ופנאי רב יותר לנתבעת, כמו גם הילדים שגדלו, אך ברור היה כי הנתבעת תתקדם בעבודה ותגדיל את שכרה"</w:t>
      </w:r>
      <w:r w:rsidRPr="00CE0411">
        <w:rPr>
          <w:rFonts w:ascii="David" w:eastAsia="Arial" w:hAnsi="David"/>
          <w:noProof w:val="0"/>
          <w:rtl/>
        </w:rPr>
        <w:t xml:space="preserve"> (ס' 24 לסיכומי הנתבעת).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כמו כן, ה</w:t>
      </w:r>
      <w:r>
        <w:rPr>
          <w:rFonts w:ascii="David" w:eastAsia="Arial" w:hAnsi="David" w:hint="cs"/>
          <w:noProof w:val="0"/>
          <w:rtl/>
        </w:rPr>
        <w:t>אם</w:t>
      </w:r>
      <w:r w:rsidRPr="00CE0411">
        <w:rPr>
          <w:rFonts w:ascii="David" w:eastAsia="Arial" w:hAnsi="David"/>
          <w:noProof w:val="0"/>
          <w:rtl/>
        </w:rPr>
        <w:t xml:space="preserve"> טוענת כי היא אינה זכאית במקום עבודתה להטבות שה</w:t>
      </w:r>
      <w:r>
        <w:rPr>
          <w:rFonts w:ascii="David" w:eastAsia="Arial" w:hAnsi="David" w:hint="cs"/>
          <w:noProof w:val="0"/>
          <w:rtl/>
        </w:rPr>
        <w:t>אב</w:t>
      </w:r>
      <w:r w:rsidRPr="00CE0411">
        <w:rPr>
          <w:rFonts w:ascii="David" w:eastAsia="Arial" w:hAnsi="David"/>
          <w:noProof w:val="0"/>
          <w:rtl/>
        </w:rPr>
        <w:t xml:space="preserve"> זכאי להם וכי מקום עבודתה</w:t>
      </w:r>
      <w:r>
        <w:rPr>
          <w:rFonts w:ascii="David" w:eastAsia="Arial" w:hAnsi="David"/>
          <w:noProof w:val="0"/>
          <w:rtl/>
        </w:rPr>
        <w:t xml:space="preserve"> הוא פחות יציב ממקום עבודת</w:t>
      </w:r>
      <w:r>
        <w:rPr>
          <w:rFonts w:ascii="David" w:eastAsia="Arial" w:hAnsi="David" w:hint="cs"/>
          <w:noProof w:val="0"/>
          <w:rtl/>
        </w:rPr>
        <w:t>ו</w:t>
      </w:r>
      <w:r w:rsidRPr="00CE0411">
        <w:rPr>
          <w:rFonts w:ascii="David" w:eastAsia="Arial" w:hAnsi="David"/>
          <w:noProof w:val="0"/>
          <w:rtl/>
        </w:rPr>
        <w:t xml:space="preserve">.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שנית</w:t>
      </w:r>
      <w:r w:rsidRPr="00CE0411">
        <w:rPr>
          <w:rFonts w:ascii="David" w:eastAsia="Arial" w:hAnsi="David"/>
          <w:noProof w:val="0"/>
          <w:rtl/>
        </w:rPr>
        <w:t>, האם חיה עם בן זוג שאף לו ילדים ו"</w:t>
      </w:r>
      <w:r w:rsidRPr="00CE0411">
        <w:rPr>
          <w:rFonts w:ascii="David" w:eastAsia="Arial" w:hAnsi="David"/>
          <w:b/>
          <w:bCs/>
          <w:i/>
          <w:iCs/>
          <w:noProof w:val="0"/>
          <w:rtl/>
        </w:rPr>
        <w:t xml:space="preserve">עברה להתגורר בוילה, </w:t>
      </w:r>
      <w:r>
        <w:rPr>
          <w:rFonts w:ascii="David" w:eastAsia="Arial" w:hAnsi="David" w:hint="cs"/>
          <w:b/>
          <w:bCs/>
          <w:i/>
          <w:iCs/>
          <w:noProof w:val="0"/>
          <w:rtl/>
        </w:rPr>
        <w:t>ב</w:t>
      </w:r>
      <w:r>
        <w:rPr>
          <w:rFonts w:ascii="David" w:eastAsia="Arial" w:hAnsi="David" w:hint="cs"/>
          <w:b/>
          <w:bCs/>
          <w:i/>
          <w:iCs/>
          <w:noProof w:val="0"/>
        </w:rPr>
        <w:t>XXX</w:t>
      </w:r>
      <w:r w:rsidRPr="00CE0411">
        <w:rPr>
          <w:rFonts w:ascii="David" w:eastAsia="Arial" w:hAnsi="David"/>
          <w:b/>
          <w:bCs/>
          <w:i/>
          <w:iCs/>
          <w:noProof w:val="0"/>
          <w:rtl/>
        </w:rPr>
        <w:t xml:space="preserve"> באזור יוקרתי, בבית יוקרתי, 3 קומות עם חצר גדולה</w:t>
      </w:r>
      <w:r w:rsidRPr="00CE0411">
        <w:rPr>
          <w:rFonts w:ascii="David" w:eastAsia="Arial" w:hAnsi="David"/>
          <w:noProof w:val="0"/>
          <w:rtl/>
        </w:rPr>
        <w:t>" (ס' 35 לכתב התביעה), כאשר לטענת האב "</w:t>
      </w:r>
      <w:r w:rsidRPr="00CE0411">
        <w:rPr>
          <w:rFonts w:ascii="David" w:eastAsia="Arial" w:hAnsi="David"/>
          <w:b/>
          <w:bCs/>
          <w:i/>
          <w:iCs/>
          <w:noProof w:val="0"/>
          <w:rtl/>
        </w:rPr>
        <w:t>חלק מהכנסות המשיבה הינם מזונות החודשיים אשר הולכים לתשלומי הוצאות הבית שבו מתגוררים עם ילדי בן זוגה ובן זוגה קרי כל חודש מתחלקים עם תשלומי המזונות שאני משלם על הילדים שלי גם בן זוגה וילדיו</w:t>
      </w:r>
      <w:r w:rsidRPr="00CE0411">
        <w:rPr>
          <w:rFonts w:ascii="David" w:eastAsia="Arial" w:hAnsi="David"/>
          <w:noProof w:val="0"/>
          <w:rtl/>
        </w:rPr>
        <w:t xml:space="preserve">" (ס' 23 לתצהיר עדות ראשית מטעם התובע).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לא מצאתי כי יש בטענות האב כדי להביא לשינוי בחיוב במזונות וזאת מהנימוקים הבאים.</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ראשית</w:t>
      </w:r>
      <w:r w:rsidRPr="00CE0411">
        <w:rPr>
          <w:rFonts w:ascii="David" w:eastAsia="Arial" w:hAnsi="David"/>
          <w:noProof w:val="0"/>
          <w:rtl/>
        </w:rPr>
        <w:t>, אין מחלוקת כי האם עבדה בתקופת ההסכם ועובדת כיום כשכירה באותו תחום (</w:t>
      </w:r>
      <w:r>
        <w:rPr>
          <w:rFonts w:ascii="David" w:eastAsia="Arial" w:hAnsi="David" w:hint="cs"/>
          <w:noProof w:val="0"/>
        </w:rPr>
        <w:t>XXXX</w:t>
      </w:r>
      <w:r w:rsidRPr="00CE0411">
        <w:rPr>
          <w:rFonts w:ascii="David" w:eastAsia="Arial" w:hAnsi="David"/>
          <w:noProof w:val="0"/>
          <w:rtl/>
        </w:rPr>
        <w:t xml:space="preserve">).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שנית,</w:t>
      </w:r>
      <w:r w:rsidRPr="00CE0411">
        <w:rPr>
          <w:rFonts w:ascii="David" w:eastAsia="Arial" w:hAnsi="David"/>
          <w:noProof w:val="0"/>
          <w:rtl/>
        </w:rPr>
        <w:t xml:space="preserve"> מאז תקופת ההסכם, חלפו מספר שנים במהלכן האם צברה ותק ואך טבעי וצפוי ששכרה יגדל עם השנים, כאשר ההעלאה במקרה זה היא סבירה וצפויה, ובוודאי שאין מדובר בשינוי מהותי בנסיבות. כמו כן, אף טענתה של האם כי בעקבות פסק הדין וקיומם של זמני שהות מסודרים מפנים יותר זמן להתמקדות בעבודה הינה סבירה ואף מתיישבת עם טענת האב כי העלאת השכר אירעה "</w:t>
      </w:r>
      <w:r w:rsidRPr="00CE0411">
        <w:rPr>
          <w:rFonts w:ascii="David" w:eastAsia="Arial" w:hAnsi="David"/>
          <w:b/>
          <w:bCs/>
          <w:i/>
          <w:iCs/>
          <w:noProof w:val="0"/>
          <w:rtl/>
        </w:rPr>
        <w:t>מיד לאחר פסק דין</w:t>
      </w:r>
      <w:r w:rsidRPr="00CE0411">
        <w:rPr>
          <w:rFonts w:ascii="David" w:eastAsia="Arial" w:hAnsi="David"/>
          <w:noProof w:val="0"/>
          <w:rtl/>
        </w:rPr>
        <w:t xml:space="preserve">".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b/>
          <w:bCs/>
          <w:noProof w:val="0"/>
          <w:rtl/>
        </w:rPr>
        <w:t>שלישית</w:t>
      </w:r>
      <w:r w:rsidRPr="00CE0411">
        <w:rPr>
          <w:rFonts w:ascii="David" w:eastAsia="Arial" w:hAnsi="David"/>
          <w:noProof w:val="0"/>
          <w:rtl/>
        </w:rPr>
        <w:t>, לא מצאתי כל היגיון בטענת האב כי מגורי האם עם בן זוג, שאף לו ילדים מקשר קודם, בבית מרווח</w:t>
      </w:r>
      <w:r>
        <w:rPr>
          <w:rFonts w:ascii="David" w:eastAsia="Arial" w:hAnsi="David" w:hint="cs"/>
          <w:noProof w:val="0"/>
          <w:rtl/>
        </w:rPr>
        <w:t xml:space="preserve"> יותר</w:t>
      </w:r>
      <w:r w:rsidRPr="00CE0411">
        <w:rPr>
          <w:rFonts w:ascii="David" w:eastAsia="Arial" w:hAnsi="David"/>
          <w:noProof w:val="0"/>
          <w:rtl/>
        </w:rPr>
        <w:t xml:space="preserve"> מהווה שינוי נסיבות.</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מובן מאליו כי מגורי האם עם הילדים עם בן זוג שאף לו ילדים חייב מגורים מרווחים</w:t>
      </w:r>
      <w:r>
        <w:rPr>
          <w:rFonts w:ascii="David" w:eastAsia="Arial" w:hAnsi="David" w:hint="cs"/>
          <w:noProof w:val="0"/>
          <w:rtl/>
        </w:rPr>
        <w:t xml:space="preserve"> יותר</w:t>
      </w:r>
      <w:r w:rsidRPr="00CE0411">
        <w:rPr>
          <w:rFonts w:ascii="David" w:eastAsia="Arial" w:hAnsi="David"/>
          <w:noProof w:val="0"/>
          <w:rtl/>
        </w:rPr>
        <w:t>, אלא שאין בכך כדי להביא בהכרח להגדלת הוצאות האם, שכן שכירות הבית מתחל</w:t>
      </w:r>
      <w:r>
        <w:rPr>
          <w:rFonts w:ascii="David" w:eastAsia="Arial" w:hAnsi="David"/>
          <w:noProof w:val="0"/>
          <w:rtl/>
        </w:rPr>
        <w:t>קת בין בני הזוג כפי שהאם העידה</w:t>
      </w:r>
      <w:r>
        <w:rPr>
          <w:rFonts w:ascii="David" w:eastAsia="Arial" w:hAnsi="David" w:hint="cs"/>
          <w:noProof w:val="0"/>
          <w:rtl/>
        </w:rPr>
        <w:t xml:space="preserve">, כאשר עדותה לא נסתרה.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כמו כן, אני דוחה את טענת האב כי המזונות שהוא משלם מממנים אף את בן הזוג וילדיו. טענה זו לא הוכחה, הגם שהאם העידה כי קיימת הפרדה מלאה בינה לבין בן זוגה.</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להשלמת התמונה, אציין כי האם אף טוענת כי הוכיחה כי היא נושאת בכל הוצאות הקטינים וכי ה</w:t>
      </w:r>
      <w:r>
        <w:rPr>
          <w:rFonts w:ascii="David" w:eastAsia="Arial" w:hAnsi="David" w:hint="cs"/>
          <w:noProof w:val="0"/>
          <w:rtl/>
        </w:rPr>
        <w:t>אב</w:t>
      </w:r>
      <w:r w:rsidRPr="00CE0411">
        <w:rPr>
          <w:rFonts w:ascii="David" w:eastAsia="Arial" w:hAnsi="David"/>
          <w:noProof w:val="0"/>
          <w:rtl/>
        </w:rPr>
        <w:t xml:space="preserve"> לא מממן לקטינים הוצאות שוטפות שונות (ביגוד, הנעלה, מתנות ימי הולדת וכיוב'). </w:t>
      </w:r>
      <w:r w:rsidRPr="00CE0411">
        <w:rPr>
          <w:rFonts w:ascii="David" w:eastAsia="Arial" w:hAnsi="David"/>
          <w:noProof w:val="0"/>
          <w:rtl/>
        </w:rPr>
        <w:lastRenderedPageBreak/>
        <w:t xml:space="preserve">אינני רואה צורך להידרש לעניין זה בהיותו חורג ממסגרת הדיון בתביעה זו (שינוי דמי מזונות להבדיל מקביעתם). </w:t>
      </w:r>
    </w:p>
    <w:p w:rsidR="00174114" w:rsidRPr="00CE0411" w:rsidRDefault="00174114" w:rsidP="00174114">
      <w:pPr>
        <w:spacing w:before="240" w:after="240" w:line="360" w:lineRule="auto"/>
        <w:jc w:val="both"/>
        <w:rPr>
          <w:rFonts w:ascii="David" w:eastAsia="Arial" w:hAnsi="David"/>
          <w:b/>
          <w:bCs/>
          <w:noProof w:val="0"/>
          <w:u w:val="single"/>
          <w:rtl/>
        </w:rPr>
      </w:pPr>
      <w:r w:rsidRPr="00CE0411">
        <w:rPr>
          <w:rFonts w:ascii="David" w:eastAsia="Arial" w:hAnsi="David"/>
          <w:b/>
          <w:bCs/>
          <w:noProof w:val="0"/>
          <w:u w:val="single"/>
          <w:rtl/>
        </w:rPr>
        <w:t xml:space="preserve">לסיכום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נוכח האמור לעיל, תביעת האב נדחית.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אף שניתנו לאב מספר הזדמנויות לשקול את עמדתו בנוגע לתביעה שהגיש, לרבות לאחר הליך ההוכחות, ולאחר ששוקפו לו הקשיים שבתביעה, עמד האב על בירור התביעה עד תום ומתן פסק דין. בכך, גרם האב להגדלת הוצאות האם בגין הליך זה.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 xml:space="preserve">האם צירפה לסיכומיה חשבוניות לפיהן היא נשאה </w:t>
      </w:r>
      <w:r>
        <w:rPr>
          <w:rFonts w:ascii="David" w:eastAsia="Arial" w:hAnsi="David" w:hint="cs"/>
          <w:noProof w:val="0"/>
          <w:rtl/>
        </w:rPr>
        <w:t xml:space="preserve">עד כה </w:t>
      </w:r>
      <w:r w:rsidRPr="00CE0411">
        <w:rPr>
          <w:rFonts w:ascii="David" w:eastAsia="Arial" w:hAnsi="David"/>
          <w:noProof w:val="0"/>
          <w:rtl/>
        </w:rPr>
        <w:t xml:space="preserve">בשכ"ט עו"ד בסך כולל של 46,800 ₪ ועתרה לחייב את האב במלוא הוצאותיה. </w:t>
      </w:r>
    </w:p>
    <w:p w:rsidR="00174114" w:rsidRPr="00CE0411" w:rsidRDefault="00174114" w:rsidP="00174114">
      <w:pPr>
        <w:numPr>
          <w:ilvl w:val="0"/>
          <w:numId w:val="2"/>
        </w:numPr>
        <w:spacing w:before="240" w:after="240" w:line="360" w:lineRule="auto"/>
        <w:jc w:val="both"/>
        <w:rPr>
          <w:rFonts w:ascii="David" w:eastAsia="Arial" w:hAnsi="David"/>
          <w:noProof w:val="0"/>
          <w:rtl/>
        </w:rPr>
      </w:pPr>
      <w:r w:rsidRPr="00CE0411">
        <w:rPr>
          <w:rFonts w:ascii="David" w:eastAsia="Arial" w:hAnsi="David"/>
          <w:noProof w:val="0"/>
          <w:rtl/>
        </w:rPr>
        <w:t>בנסיבות אלה, לאחר שלקחתי בחשבון את מהות התביעה, מספר הדיונים שנערכו וכן התנהלות הצדדים לעומת סכום ההוצאות המבוקש, ומאחר ובהתאם לתקנה 152 לתקנות סדר הדין האזרחי, תשע"ט-2018 יש לפסוק "</w:t>
      </w:r>
      <w:r w:rsidRPr="00CE0411">
        <w:rPr>
          <w:rFonts w:ascii="David" w:eastAsia="Arial" w:hAnsi="David"/>
          <w:b/>
          <w:bCs/>
          <w:i/>
          <w:iCs/>
          <w:noProof w:val="0"/>
          <w:rtl/>
        </w:rPr>
        <w:t>הוצאות סבירות והוגנות</w:t>
      </w:r>
      <w:r w:rsidRPr="00CE0411">
        <w:rPr>
          <w:rFonts w:ascii="David" w:eastAsia="Arial" w:hAnsi="David"/>
          <w:noProof w:val="0"/>
          <w:rtl/>
        </w:rPr>
        <w:t xml:space="preserve">", אני מוצא לחייב את האב בהוצאות משפט ושכ"ט עו"ד בסך 25,000 ₪ שישולמו לאם תוך 30 ימים מהיום. </w:t>
      </w:r>
    </w:p>
    <w:p w:rsidR="00174114" w:rsidRPr="00CE0411" w:rsidRDefault="00174114" w:rsidP="00174114">
      <w:pPr>
        <w:spacing w:before="240" w:after="240" w:line="360" w:lineRule="auto"/>
        <w:ind w:left="360"/>
        <w:jc w:val="both"/>
        <w:rPr>
          <w:rFonts w:ascii="David" w:eastAsia="Arial" w:hAnsi="David"/>
          <w:b/>
          <w:bCs/>
          <w:noProof w:val="0"/>
          <w:rtl/>
        </w:rPr>
      </w:pPr>
      <w:r w:rsidRPr="00CE0411">
        <w:rPr>
          <w:rFonts w:ascii="David" w:eastAsia="Arial" w:hAnsi="David"/>
          <w:b/>
          <w:bCs/>
          <w:noProof w:val="0"/>
          <w:rtl/>
        </w:rPr>
        <w:t>המזכירות תסגור את התיק.</w:t>
      </w:r>
    </w:p>
    <w:p w:rsidR="00174114" w:rsidRPr="00CE0411" w:rsidRDefault="00174114" w:rsidP="00174114">
      <w:pPr>
        <w:spacing w:before="240" w:after="240" w:line="360" w:lineRule="auto"/>
        <w:ind w:left="360"/>
        <w:jc w:val="both"/>
        <w:rPr>
          <w:rFonts w:ascii="David" w:eastAsia="Arial" w:hAnsi="David"/>
          <w:b/>
          <w:bCs/>
          <w:noProof w:val="0"/>
          <w:rtl/>
        </w:rPr>
      </w:pPr>
      <w:r w:rsidRPr="00CE0411">
        <w:rPr>
          <w:rFonts w:ascii="David" w:eastAsia="Arial" w:hAnsi="David"/>
          <w:b/>
          <w:bCs/>
          <w:noProof w:val="0"/>
          <w:rtl/>
        </w:rPr>
        <w:t xml:space="preserve">פסק הדין יפורסם לאחר השמטת הפרטים המזהים של הצדדים.  </w:t>
      </w:r>
    </w:p>
    <w:p w:rsidR="00174114" w:rsidRDefault="00174114" w:rsidP="00174114">
      <w:pPr>
        <w:spacing w:before="240" w:after="240" w:line="360" w:lineRule="auto"/>
        <w:jc w:val="both"/>
        <w:rPr>
          <w:rFonts w:ascii="Arial" w:hAnsi="Arial"/>
          <w:noProof w:val="0"/>
          <w:rtl/>
        </w:rPr>
      </w:pPr>
    </w:p>
    <w:p w:rsidR="00174114" w:rsidRDefault="00174114" w:rsidP="00174114">
      <w:pPr>
        <w:spacing w:before="240" w:after="24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יוני 2024</w:t>
          </w:r>
        </w:sdtContent>
      </w:sdt>
      <w:r>
        <w:rPr>
          <w:rFonts w:ascii="Arial" w:hAnsi="Arial"/>
          <w:noProof w:val="0"/>
          <w:rtl/>
        </w:rPr>
        <w:t>, בהעדר הצדדים.</w:t>
      </w:r>
    </w:p>
    <w:p w:rsidR="00174114" w:rsidRDefault="00174114" w:rsidP="00174114">
      <w:pPr>
        <w:spacing w:before="240" w:after="240"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6A26B16CCF414E2E8DF49C9AFB8F9292"/>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174114" w:rsidRDefault="00A13AD2" w:rsidP="00174114">
      <w:pPr>
        <w:spacing w:before="240" w:after="240" w:line="360" w:lineRule="auto"/>
        <w:ind w:left="3600" w:firstLine="720"/>
      </w:pPr>
      <w:sdt>
        <w:sdtPr>
          <w:rPr>
            <w:rtl/>
          </w:rPr>
          <w:alias w:val="MergeField"/>
          <w:tag w:val="1237"/>
          <w:id w:val="-1219125853"/>
        </w:sdtPr>
        <w:sdtEndPr/>
        <w:sdtContent>
          <w:r w:rsidR="00174114">
            <w:drawing>
              <wp:inline distT="0" distB="0" distL="0" distR="0" wp14:anchorId="0FEB3848" wp14:editId="4DDAD9AD">
                <wp:extent cx="1362075" cy="159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62075" cy="1590675"/>
                        </a:xfrm>
                        <a:prstGeom prst="rect">
                          <a:avLst/>
                        </a:prstGeom>
                      </pic:spPr>
                    </pic:pic>
                  </a:graphicData>
                </a:graphic>
              </wp:inline>
            </w:drawing>
          </w:r>
        </w:sdtContent>
      </w:sdt>
    </w:p>
    <w:p w:rsidR="00174114" w:rsidRDefault="00174114" w:rsidP="00174114">
      <w:pPr>
        <w:spacing w:before="240" w:after="240" w:line="360" w:lineRule="auto"/>
        <w:ind w:left="3600" w:firstLine="720"/>
        <w:rPr>
          <w:rFonts w:ascii="Arial" w:hAnsi="Arial"/>
          <w:noProof w:val="0"/>
          <w:rtl/>
        </w:rPr>
      </w:pPr>
    </w:p>
    <w:sectPr w:rsidR="00174114"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AD2" w:rsidRDefault="00A13AD2" w:rsidP="00174114">
      <w:r>
        <w:separator/>
      </w:r>
    </w:p>
  </w:endnote>
  <w:endnote w:type="continuationSeparator" w:id="0">
    <w:p w:rsidR="00A13AD2" w:rsidRDefault="00A13AD2" w:rsidP="0017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41" w:rsidRDefault="0031144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74114">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0F759E">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F759E">
      <w:rPr>
        <w:rStyle w:val="a8"/>
        <w:rtl/>
      </w:rPr>
      <w:t>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41" w:rsidRDefault="003114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AD2" w:rsidRDefault="00A13AD2" w:rsidP="00174114">
      <w:r>
        <w:separator/>
      </w:r>
    </w:p>
  </w:footnote>
  <w:footnote w:type="continuationSeparator" w:id="0">
    <w:p w:rsidR="00A13AD2" w:rsidRDefault="00A13AD2" w:rsidP="00174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41" w:rsidRDefault="003114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74114">
    <w:pPr>
      <w:pStyle w:val="a3"/>
      <w:jc w:val="center"/>
      <w:rPr>
        <w:rFonts w:cs="FrankRuehl"/>
        <w:noProof w:val="0"/>
        <w:sz w:val="28"/>
        <w:szCs w:val="28"/>
        <w:rtl/>
      </w:rPr>
    </w:pPr>
    <w:r>
      <w:rPr>
        <w:rFonts w:cs="FrankRuehl"/>
        <w:sz w:val="28"/>
        <w:szCs w:val="28"/>
      </w:rPr>
      <w:drawing>
        <wp:inline distT="0" distB="0" distL="0" distR="0" wp14:anchorId="3BC90968" wp14:editId="2A7A9F5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174114">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A13AD2">
          <w:pPr>
            <w:rPr>
              <w:b/>
              <w:bCs/>
              <w:noProof w:val="0"/>
              <w:sz w:val="26"/>
              <w:szCs w:val="26"/>
              <w:rtl/>
            </w:rPr>
          </w:pPr>
        </w:p>
      </w:tc>
      <w:tc>
        <w:tcPr>
          <w:tcW w:w="3674" w:type="dxa"/>
        </w:tcPr>
        <w:p w:rsidR="00694556" w:rsidRDefault="00A13AD2">
          <w:pPr>
            <w:pStyle w:val="a3"/>
            <w:jc w:val="right"/>
            <w:rPr>
              <w:b/>
              <w:bCs/>
              <w:noProof w:val="0"/>
              <w:sz w:val="26"/>
              <w:szCs w:val="26"/>
              <w:rtl/>
            </w:rPr>
          </w:pPr>
        </w:p>
      </w:tc>
    </w:tr>
    <w:tr w:rsidR="00694556">
      <w:trPr>
        <w:trHeight w:val="337"/>
        <w:jc w:val="center"/>
      </w:trPr>
      <w:tc>
        <w:tcPr>
          <w:tcW w:w="8721" w:type="dxa"/>
          <w:gridSpan w:val="2"/>
        </w:tcPr>
        <w:p w:rsidR="00694556" w:rsidRDefault="00A13AD2" w:rsidP="00174114">
          <w:pPr>
            <w:rPr>
              <w:b/>
              <w:bCs/>
              <w:noProof w:val="0"/>
              <w:sz w:val="26"/>
              <w:szCs w:val="26"/>
              <w:rtl/>
            </w:rPr>
          </w:pPr>
          <w:sdt>
            <w:sdtPr>
              <w:rPr>
                <w:b/>
                <w:bCs/>
                <w:noProof w:val="0"/>
                <w:sz w:val="26"/>
                <w:szCs w:val="26"/>
                <w:rtl/>
              </w:rPr>
              <w:alias w:val="1170"/>
              <w:tag w:val="1170"/>
              <w:id w:val="299038016"/>
              <w:text w:multiLine="1"/>
            </w:sdtPr>
            <w:sdtEndPr/>
            <w:sdtContent>
              <w:r w:rsidR="00174114">
                <w:rPr>
                  <w:b/>
                  <w:bCs/>
                  <w:noProof w:val="0"/>
                  <w:sz w:val="26"/>
                  <w:szCs w:val="26"/>
                  <w:rtl/>
                </w:rPr>
                <w:t>תלה"מ</w:t>
              </w:r>
            </w:sdtContent>
          </w:sdt>
          <w:r w:rsidR="00174114">
            <w:rPr>
              <w:b/>
              <w:bCs/>
              <w:noProof w:val="0"/>
              <w:sz w:val="26"/>
              <w:szCs w:val="26"/>
              <w:rtl/>
            </w:rPr>
            <w:t xml:space="preserve"> </w:t>
          </w:r>
          <w:sdt>
            <w:sdtPr>
              <w:rPr>
                <w:b/>
                <w:bCs/>
                <w:noProof w:val="0"/>
                <w:sz w:val="26"/>
                <w:szCs w:val="26"/>
                <w:rtl/>
              </w:rPr>
              <w:alias w:val="1171"/>
              <w:tag w:val="1171"/>
              <w:id w:val="81650337"/>
              <w:text w:multiLine="1"/>
            </w:sdtPr>
            <w:sdtEndPr/>
            <w:sdtContent>
              <w:r w:rsidR="00174114">
                <w:rPr>
                  <w:b/>
                  <w:bCs/>
                  <w:noProof w:val="0"/>
                  <w:sz w:val="26"/>
                  <w:szCs w:val="26"/>
                  <w:rtl/>
                </w:rPr>
                <w:t>45717-03-22</w:t>
              </w:r>
            </w:sdtContent>
          </w:sdt>
          <w:r w:rsidR="00174114">
            <w:rPr>
              <w:b/>
              <w:bCs/>
              <w:noProof w:val="0"/>
              <w:sz w:val="26"/>
              <w:szCs w:val="26"/>
              <w:rtl/>
            </w:rPr>
            <w:t xml:space="preserve"> </w:t>
          </w:r>
          <w:sdt>
            <w:sdtPr>
              <w:rPr>
                <w:b/>
                <w:bCs/>
                <w:noProof w:val="0"/>
                <w:sz w:val="26"/>
                <w:szCs w:val="26"/>
                <w:rtl/>
              </w:rPr>
              <w:alias w:val="1172"/>
              <w:tag w:val="1172"/>
              <w:id w:val="-1742169342"/>
              <w:text w:multiLine="1"/>
            </w:sdtPr>
            <w:sdtEndPr/>
            <w:sdtContent>
              <w:r w:rsidR="00174114">
                <w:rPr>
                  <w:rFonts w:hint="cs"/>
                  <w:b/>
                  <w:bCs/>
                  <w:noProof w:val="0"/>
                  <w:sz w:val="26"/>
                  <w:szCs w:val="26"/>
                  <w:rtl/>
                </w:rPr>
                <w:t>פלוני</w:t>
              </w:r>
              <w:r w:rsidR="00174114">
                <w:rPr>
                  <w:b/>
                  <w:bCs/>
                  <w:noProof w:val="0"/>
                  <w:sz w:val="26"/>
                  <w:szCs w:val="26"/>
                  <w:rtl/>
                </w:rPr>
                <w:t xml:space="preserve"> נ' </w:t>
              </w:r>
              <w:r w:rsidR="00174114">
                <w:rPr>
                  <w:rFonts w:hint="cs"/>
                  <w:b/>
                  <w:bCs/>
                  <w:noProof w:val="0"/>
                  <w:sz w:val="26"/>
                  <w:szCs w:val="26"/>
                  <w:rtl/>
                </w:rPr>
                <w:t>פלונית</w:t>
              </w:r>
            </w:sdtContent>
          </w:sdt>
        </w:p>
        <w:p w:rsidR="00694556" w:rsidRPr="00957C90" w:rsidRDefault="00A13AD2">
          <w:pPr>
            <w:rPr>
              <w:b/>
              <w:bCs/>
              <w:noProof w:val="0"/>
              <w:sz w:val="2"/>
              <w:szCs w:val="2"/>
              <w:rtl/>
            </w:rPr>
          </w:pPr>
        </w:p>
        <w:p w:rsidR="0043595F" w:rsidRDefault="00174114" w:rsidP="00957C90">
          <w:pPr>
            <w:rPr>
              <w:b/>
              <w:bCs/>
              <w:noProof w:val="0"/>
              <w:sz w:val="26"/>
              <w:szCs w:val="26"/>
              <w:rtl/>
            </w:rPr>
          </w:pPr>
          <w:r w:rsidRPr="00957C90">
            <w:rPr>
              <w:rFonts w:hint="cs"/>
              <w:b/>
              <w:bCs/>
              <w:noProof w:val="0"/>
              <w:sz w:val="26"/>
              <w:szCs w:val="26"/>
              <w:rtl/>
            </w:rPr>
            <w:t xml:space="preserve"> </w:t>
          </w:r>
        </w:p>
        <w:p w:rsidR="00957C90" w:rsidRPr="00957C90" w:rsidRDefault="00174114">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174114">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41" w:rsidRDefault="003114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13642"/>
    <w:multiLevelType w:val="hybridMultilevel"/>
    <w:tmpl w:val="7F44B9F2"/>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8530621"/>
    <w:multiLevelType w:val="hybridMultilevel"/>
    <w:tmpl w:val="A7004B98"/>
    <w:lvl w:ilvl="0" w:tplc="04090001">
      <w:start w:val="1"/>
      <w:numFmt w:val="bullet"/>
      <w:lvlText w:val=""/>
      <w:lvlJc w:val="left"/>
      <w:pPr>
        <w:ind w:left="2502" w:hanging="360"/>
      </w:pPr>
      <w:rPr>
        <w:rFonts w:ascii="Symbol" w:hAnsi="Symbol" w:hint="default"/>
      </w:rPr>
    </w:lvl>
    <w:lvl w:ilvl="1" w:tplc="04090003">
      <w:start w:val="1"/>
      <w:numFmt w:val="bullet"/>
      <w:lvlText w:val="o"/>
      <w:lvlJc w:val="left"/>
      <w:pPr>
        <w:ind w:left="3222" w:hanging="360"/>
      </w:pPr>
      <w:rPr>
        <w:rFonts w:ascii="Courier New" w:hAnsi="Courier New" w:cs="Courier New" w:hint="default"/>
      </w:rPr>
    </w:lvl>
    <w:lvl w:ilvl="2" w:tplc="04090005">
      <w:start w:val="1"/>
      <w:numFmt w:val="bullet"/>
      <w:lvlText w:val=""/>
      <w:lvlJc w:val="left"/>
      <w:pPr>
        <w:ind w:left="3942" w:hanging="360"/>
      </w:pPr>
      <w:rPr>
        <w:rFonts w:ascii="Wingdings" w:hAnsi="Wingdings" w:hint="default"/>
      </w:rPr>
    </w:lvl>
    <w:lvl w:ilvl="3" w:tplc="04090001">
      <w:start w:val="1"/>
      <w:numFmt w:val="bullet"/>
      <w:lvlText w:val=""/>
      <w:lvlJc w:val="left"/>
      <w:pPr>
        <w:ind w:left="4662" w:hanging="360"/>
      </w:pPr>
      <w:rPr>
        <w:rFonts w:ascii="Symbol" w:hAnsi="Symbol" w:hint="default"/>
      </w:rPr>
    </w:lvl>
    <w:lvl w:ilvl="4" w:tplc="04090003">
      <w:start w:val="1"/>
      <w:numFmt w:val="bullet"/>
      <w:lvlText w:val="o"/>
      <w:lvlJc w:val="left"/>
      <w:pPr>
        <w:ind w:left="5382" w:hanging="360"/>
      </w:pPr>
      <w:rPr>
        <w:rFonts w:ascii="Courier New" w:hAnsi="Courier New" w:cs="Courier New" w:hint="default"/>
      </w:rPr>
    </w:lvl>
    <w:lvl w:ilvl="5" w:tplc="04090005">
      <w:start w:val="1"/>
      <w:numFmt w:val="bullet"/>
      <w:lvlText w:val=""/>
      <w:lvlJc w:val="left"/>
      <w:pPr>
        <w:ind w:left="6102" w:hanging="360"/>
      </w:pPr>
      <w:rPr>
        <w:rFonts w:ascii="Wingdings" w:hAnsi="Wingdings" w:hint="default"/>
      </w:rPr>
    </w:lvl>
    <w:lvl w:ilvl="6" w:tplc="04090001">
      <w:start w:val="1"/>
      <w:numFmt w:val="bullet"/>
      <w:lvlText w:val=""/>
      <w:lvlJc w:val="left"/>
      <w:pPr>
        <w:ind w:left="6822" w:hanging="360"/>
      </w:pPr>
      <w:rPr>
        <w:rFonts w:ascii="Symbol" w:hAnsi="Symbol" w:hint="default"/>
      </w:rPr>
    </w:lvl>
    <w:lvl w:ilvl="7" w:tplc="04090003">
      <w:start w:val="1"/>
      <w:numFmt w:val="bullet"/>
      <w:lvlText w:val="o"/>
      <w:lvlJc w:val="left"/>
      <w:pPr>
        <w:ind w:left="7542" w:hanging="360"/>
      </w:pPr>
      <w:rPr>
        <w:rFonts w:ascii="Courier New" w:hAnsi="Courier New" w:cs="Courier New" w:hint="default"/>
      </w:rPr>
    </w:lvl>
    <w:lvl w:ilvl="8" w:tplc="04090005">
      <w:start w:val="1"/>
      <w:numFmt w:val="bullet"/>
      <w:lvlText w:val=""/>
      <w:lvlJc w:val="left"/>
      <w:pPr>
        <w:ind w:left="8262" w:hanging="360"/>
      </w:pPr>
      <w:rPr>
        <w:rFonts w:ascii="Wingdings" w:hAnsi="Wingdings" w:hint="default"/>
      </w:rPr>
    </w:lvl>
  </w:abstractNum>
  <w:abstractNum w:abstractNumId="2" w15:restartNumberingAfterBreak="0">
    <w:nsid w:val="468C2F27"/>
    <w:multiLevelType w:val="hybridMultilevel"/>
    <w:tmpl w:val="359E3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114"/>
    <w:rsid w:val="000E379A"/>
    <w:rsid w:val="000F759E"/>
    <w:rsid w:val="00174114"/>
    <w:rsid w:val="001C5BDC"/>
    <w:rsid w:val="00265580"/>
    <w:rsid w:val="00311441"/>
    <w:rsid w:val="00401CF2"/>
    <w:rsid w:val="0046077A"/>
    <w:rsid w:val="005115DC"/>
    <w:rsid w:val="006A57EF"/>
    <w:rsid w:val="00A13AD2"/>
    <w:rsid w:val="00E376DF"/>
    <w:rsid w:val="00EA63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B02EBE-5AC2-4F2C-81EA-C3A4D96F2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11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74114"/>
    <w:pPr>
      <w:tabs>
        <w:tab w:val="center" w:pos="4153"/>
        <w:tab w:val="right" w:pos="8306"/>
      </w:tabs>
    </w:pPr>
  </w:style>
  <w:style w:type="character" w:customStyle="1" w:styleId="a4">
    <w:name w:val="כותרת עליונה תו"/>
    <w:basedOn w:val="a0"/>
    <w:link w:val="a3"/>
    <w:rsid w:val="00174114"/>
    <w:rPr>
      <w:rFonts w:ascii="Times New Roman" w:eastAsia="Times New Roman" w:hAnsi="Times New Roman" w:cs="David"/>
      <w:noProof/>
      <w:sz w:val="24"/>
      <w:szCs w:val="24"/>
    </w:rPr>
  </w:style>
  <w:style w:type="paragraph" w:styleId="a5">
    <w:name w:val="footer"/>
    <w:basedOn w:val="a"/>
    <w:link w:val="a6"/>
    <w:rsid w:val="00174114"/>
    <w:pPr>
      <w:tabs>
        <w:tab w:val="center" w:pos="4153"/>
        <w:tab w:val="right" w:pos="8306"/>
      </w:tabs>
    </w:pPr>
  </w:style>
  <w:style w:type="character" w:customStyle="1" w:styleId="a6">
    <w:name w:val="כותרת תחתונה תו"/>
    <w:basedOn w:val="a0"/>
    <w:link w:val="a5"/>
    <w:rsid w:val="00174114"/>
    <w:rPr>
      <w:rFonts w:ascii="Times New Roman" w:eastAsia="Times New Roman" w:hAnsi="Times New Roman" w:cs="David"/>
      <w:noProof/>
      <w:sz w:val="24"/>
      <w:szCs w:val="24"/>
    </w:rPr>
  </w:style>
  <w:style w:type="table" w:styleId="a7">
    <w:name w:val="Table Grid"/>
    <w:basedOn w:val="a1"/>
    <w:rsid w:val="0017411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74114"/>
  </w:style>
  <w:style w:type="character" w:styleId="a9">
    <w:name w:val="line number"/>
    <w:basedOn w:val="a0"/>
    <w:uiPriority w:val="99"/>
    <w:semiHidden/>
    <w:unhideWhenUsed/>
    <w:rsid w:val="00174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5FCDC4F6724E19AC954F6ED1D0F28C"/>
        <w:category>
          <w:name w:val="כללי"/>
          <w:gallery w:val="placeholder"/>
        </w:category>
        <w:types>
          <w:type w:val="bbPlcHdr"/>
        </w:types>
        <w:behaviors>
          <w:behavior w:val="content"/>
        </w:behaviors>
        <w:guid w:val="{B1D5BF5D-3B64-485F-9001-B824AF6141DE}"/>
      </w:docPartPr>
      <w:docPartBody>
        <w:p w:rsidR="00570989" w:rsidRDefault="00285815" w:rsidP="00285815">
          <w:pPr>
            <w:pStyle w:val="F55FCDC4F6724E19AC954F6ED1D0F28C"/>
          </w:pPr>
          <w:r w:rsidRPr="009C358E">
            <w:rPr>
              <w:rFonts w:hint="eastAsia"/>
              <w:b/>
              <w:bCs/>
              <w:sz w:val="28"/>
              <w:rtl/>
            </w:rPr>
            <w:t>סוג</w:t>
          </w:r>
          <w:r w:rsidRPr="009C358E">
            <w:rPr>
              <w:b/>
              <w:bCs/>
              <w:sz w:val="28"/>
              <w:rtl/>
            </w:rPr>
            <w:t xml:space="preserve"> זיהוי צד א'</w:t>
          </w:r>
        </w:p>
      </w:docPartBody>
    </w:docPart>
    <w:docPart>
      <w:docPartPr>
        <w:name w:val="8919EEBCC592418895F470B31C61E755"/>
        <w:category>
          <w:name w:val="כללי"/>
          <w:gallery w:val="placeholder"/>
        </w:category>
        <w:types>
          <w:type w:val="bbPlcHdr"/>
        </w:types>
        <w:behaviors>
          <w:behavior w:val="content"/>
        </w:behaviors>
        <w:guid w:val="{29037265-EF6F-465B-9189-E094F20C1A31}"/>
      </w:docPartPr>
      <w:docPartBody>
        <w:p w:rsidR="00570989" w:rsidRDefault="00285815" w:rsidP="00285815">
          <w:pPr>
            <w:pStyle w:val="8919EEBCC592418895F470B31C61E755"/>
          </w:pPr>
          <w:r w:rsidRPr="009C358E">
            <w:rPr>
              <w:rFonts w:hint="eastAsia"/>
              <w:b/>
              <w:bCs/>
              <w:sz w:val="28"/>
              <w:rtl/>
            </w:rPr>
            <w:t>סוג</w:t>
          </w:r>
          <w:r w:rsidRPr="009C358E">
            <w:rPr>
              <w:b/>
              <w:bCs/>
              <w:sz w:val="28"/>
              <w:rtl/>
            </w:rPr>
            <w:t xml:space="preserve"> זיהוי צד ב'</w:t>
          </w:r>
        </w:p>
      </w:docPartBody>
    </w:docPart>
    <w:docPart>
      <w:docPartPr>
        <w:name w:val="6A26B16CCF414E2E8DF49C9AFB8F9292"/>
        <w:category>
          <w:name w:val="כללי"/>
          <w:gallery w:val="placeholder"/>
        </w:category>
        <w:types>
          <w:type w:val="bbPlcHdr"/>
        </w:types>
        <w:behaviors>
          <w:behavior w:val="content"/>
        </w:behaviors>
        <w:guid w:val="{F9C7FF9C-81AD-43DE-A413-A396806F798E}"/>
      </w:docPartPr>
      <w:docPartBody>
        <w:p w:rsidR="00570989" w:rsidRDefault="00285815" w:rsidP="00285815">
          <w:pPr>
            <w:pStyle w:val="6A26B16CCF414E2E8DF49C9AFB8F9292"/>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815"/>
    <w:rsid w:val="00285815"/>
    <w:rsid w:val="002C5ACF"/>
    <w:rsid w:val="004179F6"/>
    <w:rsid w:val="0051010C"/>
    <w:rsid w:val="005709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55FCDC4F6724E19AC954F6ED1D0F28C">
    <w:name w:val="F55FCDC4F6724E19AC954F6ED1D0F28C"/>
    <w:rsid w:val="00285815"/>
    <w:pPr>
      <w:bidi/>
    </w:pPr>
  </w:style>
  <w:style w:type="paragraph" w:customStyle="1" w:styleId="05FB1CF7D50F4636993C4D401259BC70">
    <w:name w:val="05FB1CF7D50F4636993C4D401259BC70"/>
    <w:rsid w:val="00285815"/>
    <w:pPr>
      <w:bidi/>
    </w:pPr>
  </w:style>
  <w:style w:type="paragraph" w:customStyle="1" w:styleId="8919EEBCC592418895F470B31C61E755">
    <w:name w:val="8919EEBCC592418895F470B31C61E755"/>
    <w:rsid w:val="00285815"/>
    <w:pPr>
      <w:bidi/>
    </w:pPr>
  </w:style>
  <w:style w:type="paragraph" w:customStyle="1" w:styleId="BD44AC7D98F9403CB79E90244375E55D">
    <w:name w:val="BD44AC7D98F9403CB79E90244375E55D"/>
    <w:rsid w:val="00285815"/>
    <w:pPr>
      <w:bidi/>
    </w:pPr>
  </w:style>
  <w:style w:type="character" w:styleId="a3">
    <w:name w:val="Placeholder Text"/>
    <w:basedOn w:val="a0"/>
    <w:uiPriority w:val="99"/>
    <w:semiHidden/>
    <w:rsid w:val="00285815"/>
    <w:rPr>
      <w:color w:val="808080"/>
    </w:rPr>
  </w:style>
  <w:style w:type="paragraph" w:customStyle="1" w:styleId="6A26B16CCF414E2E8DF49C9AFB8F9292">
    <w:name w:val="6A26B16CCF414E2E8DF49C9AFB8F9292"/>
    <w:rsid w:val="0028581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2017</Words>
  <Characters>10089</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אושר לורן בר</dc:creator>
  <cp:keywords/>
  <dc:description/>
  <cp:lastModifiedBy>אסתר טטרואשילי</cp:lastModifiedBy>
  <cp:revision>2</cp:revision>
  <dcterms:created xsi:type="dcterms:W3CDTF">2024-06-30T12:49:00Z</dcterms:created>
  <dcterms:modified xsi:type="dcterms:W3CDTF">2024-06-30T12:49:00Z</dcterms:modified>
</cp:coreProperties>
</file>